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72D54" w:rsidRPr="00B85FAB" w14:paraId="61836E21" w14:textId="77777777" w:rsidTr="009B655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02E25B4" w14:textId="77777777" w:rsidR="00E72D54" w:rsidRPr="00B85FAB" w:rsidRDefault="00E72D54" w:rsidP="009B655C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56958D6" w14:textId="77777777" w:rsidR="00E72D54" w:rsidRPr="00B85FAB" w:rsidRDefault="00D01716" w:rsidP="009B655C">
            <w:pPr>
              <w:rPr>
                <w:lang w:val="fr-FR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3A4865AC" wp14:editId="0671567F">
                  <wp:extent cx="1859280" cy="1322705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581D98B" w14:textId="77777777" w:rsidR="00E72D54" w:rsidRPr="00B85FAB" w:rsidRDefault="00E72D54" w:rsidP="009B655C">
            <w:pPr>
              <w:jc w:val="right"/>
              <w:rPr>
                <w:lang w:val="fr-FR"/>
              </w:rPr>
            </w:pPr>
          </w:p>
        </w:tc>
      </w:tr>
      <w:tr w:rsidR="00E72D54" w:rsidRPr="00B85FAB" w14:paraId="41601A57" w14:textId="77777777" w:rsidTr="009B655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0A24D084" w14:textId="77777777" w:rsidR="00E72D54" w:rsidRPr="00B85FAB" w:rsidRDefault="00E72D54" w:rsidP="009B655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E72D54" w:rsidRPr="00B85FAB" w14:paraId="787C0C7B" w14:textId="77777777" w:rsidTr="009B655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1EDF52E6" w14:textId="59A1EA55" w:rsidR="00E72D54" w:rsidRPr="00B85FAB" w:rsidRDefault="008D2B7D" w:rsidP="00D0171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>
              <w:rPr>
                <w:rFonts w:ascii="Arial Black" w:hAnsi="Arial Black"/>
                <w:caps/>
                <w:sz w:val="15"/>
                <w:lang w:val="fr-FR"/>
              </w:rPr>
              <w:t>JUIN</w:t>
            </w:r>
            <w:r w:rsidR="00E72D54" w:rsidRPr="00B85FAB">
              <w:rPr>
                <w:rFonts w:ascii="Arial Black" w:hAnsi="Arial Black"/>
                <w:caps/>
                <w:sz w:val="15"/>
                <w:lang w:val="fr-FR"/>
              </w:rPr>
              <w:t xml:space="preserve"> 2020  </w:t>
            </w:r>
            <w:bookmarkStart w:id="1" w:name="Date"/>
            <w:bookmarkEnd w:id="1"/>
          </w:p>
        </w:tc>
      </w:tr>
    </w:tbl>
    <w:p w14:paraId="49F7BD19" w14:textId="77777777" w:rsidR="00E72D54" w:rsidRPr="00B85FAB" w:rsidRDefault="00E72D54" w:rsidP="00E72D54">
      <w:pPr>
        <w:rPr>
          <w:lang w:val="fr-FR"/>
        </w:rPr>
      </w:pPr>
    </w:p>
    <w:p w14:paraId="401E5002" w14:textId="77777777" w:rsidR="00E72D54" w:rsidRPr="00B85FAB" w:rsidRDefault="00E72D54" w:rsidP="00E72D54">
      <w:pPr>
        <w:rPr>
          <w:lang w:val="fr-FR"/>
        </w:rPr>
      </w:pPr>
    </w:p>
    <w:p w14:paraId="65F03417" w14:textId="77777777" w:rsidR="00E72D54" w:rsidRPr="00B85FAB" w:rsidRDefault="00E72D54" w:rsidP="00E72D54">
      <w:pPr>
        <w:rPr>
          <w:lang w:val="fr-FR"/>
        </w:rPr>
      </w:pPr>
    </w:p>
    <w:p w14:paraId="4B0B4E9D" w14:textId="77777777" w:rsidR="00E72D54" w:rsidRPr="00B85FAB" w:rsidRDefault="00E72D54" w:rsidP="00E72D54">
      <w:pPr>
        <w:rPr>
          <w:lang w:val="fr-FR"/>
        </w:rPr>
      </w:pPr>
    </w:p>
    <w:p w14:paraId="0BD3CB55" w14:textId="77777777" w:rsidR="00E72D54" w:rsidRPr="00B85FAB" w:rsidRDefault="00E72D54" w:rsidP="00E72D54">
      <w:pPr>
        <w:rPr>
          <w:lang w:val="fr-FR"/>
        </w:rPr>
      </w:pPr>
    </w:p>
    <w:p w14:paraId="572C3DBD" w14:textId="77777777" w:rsidR="00E72D54" w:rsidRPr="00B85FAB" w:rsidRDefault="00B85FAB" w:rsidP="00E72D54">
      <w:pPr>
        <w:pStyle w:val="Meetingtitle"/>
        <w:spacing w:line="240" w:lineRule="auto"/>
        <w:ind w:left="0"/>
        <w:rPr>
          <w:rFonts w:cs="Arial"/>
          <w:szCs w:val="28"/>
          <w:lang w:val="fr-FR"/>
        </w:rPr>
      </w:pPr>
      <w:r w:rsidRPr="00B85FAB">
        <w:rPr>
          <w:lang w:val="fr-FR"/>
        </w:rPr>
        <w:t>Date de la pu</w:t>
      </w:r>
      <w:r w:rsidR="00E72D54" w:rsidRPr="00B85FAB">
        <w:rPr>
          <w:lang w:val="fr-FR"/>
        </w:rPr>
        <w:t xml:space="preserve">blication </w:t>
      </w:r>
      <w:r w:rsidRPr="00B85FAB">
        <w:rPr>
          <w:lang w:val="fr-FR"/>
        </w:rPr>
        <w:t>d’un enregistrement i</w:t>
      </w:r>
      <w:r w:rsidR="00E72D54" w:rsidRPr="00B85FAB">
        <w:rPr>
          <w:lang w:val="fr-FR"/>
        </w:rPr>
        <w:t xml:space="preserve">nternational </w:t>
      </w:r>
      <w:r w:rsidRPr="00B85FAB">
        <w:rPr>
          <w:lang w:val="fr-FR"/>
        </w:rPr>
        <w:t>en vertu du système de La Haye concernant l’enregistrement international des dessins et modèles industriels</w:t>
      </w:r>
    </w:p>
    <w:p w14:paraId="57496EE6" w14:textId="77777777" w:rsidR="00E72D54" w:rsidRPr="00B85FAB" w:rsidRDefault="00E72D54" w:rsidP="00E72D54">
      <w:pPr>
        <w:rPr>
          <w:rFonts w:eastAsia="Yu Mincho"/>
          <w:lang w:val="fr-FR" w:eastAsia="ja-JP"/>
        </w:rPr>
      </w:pPr>
    </w:p>
    <w:p w14:paraId="37305555" w14:textId="77777777" w:rsidR="00E72D54" w:rsidRPr="00B85FAB" w:rsidRDefault="00E72D54" w:rsidP="00E72D54">
      <w:pPr>
        <w:rPr>
          <w:lang w:val="fr-FR"/>
        </w:rPr>
      </w:pPr>
    </w:p>
    <w:p w14:paraId="5446674F" w14:textId="77777777" w:rsidR="00E72D54" w:rsidRPr="00B85FAB" w:rsidRDefault="00E72D54" w:rsidP="00E72D54">
      <w:pPr>
        <w:rPr>
          <w:b/>
          <w:sz w:val="28"/>
          <w:szCs w:val="28"/>
          <w:lang w:val="fr-FR"/>
        </w:rPr>
      </w:pPr>
      <w:r w:rsidRPr="00B85FAB">
        <w:rPr>
          <w:b/>
          <w:sz w:val="28"/>
          <w:szCs w:val="28"/>
          <w:lang w:val="fr-FR"/>
        </w:rPr>
        <w:t>Questionnaire</w:t>
      </w:r>
    </w:p>
    <w:p w14:paraId="2BF61BD7" w14:textId="77777777" w:rsidR="00E72D54" w:rsidRPr="00B85FAB" w:rsidRDefault="00E72D54" w:rsidP="00E72D54">
      <w:pPr>
        <w:pStyle w:val="BodyText"/>
        <w:rPr>
          <w:lang w:val="fr-FR"/>
        </w:rPr>
      </w:pPr>
    </w:p>
    <w:p w14:paraId="1B96CE4A" w14:textId="77777777" w:rsidR="00E72D54" w:rsidRPr="00B85FAB" w:rsidRDefault="002026C2" w:rsidP="00E72D54">
      <w:pPr>
        <w:pStyle w:val="BodyText"/>
        <w:rPr>
          <w:lang w:val="fr-FR"/>
        </w:rPr>
      </w:pPr>
      <w:r w:rsidRPr="002026C2">
        <w:rPr>
          <w:lang w:val="fr-FR"/>
        </w:rPr>
        <w:t>L</w:t>
      </w:r>
      <w:r w:rsidR="00EE3F23">
        <w:rPr>
          <w:lang w:val="fr-FR"/>
        </w:rPr>
        <w:t>’</w:t>
      </w:r>
      <w:r w:rsidRPr="002026C2">
        <w:rPr>
          <w:lang w:val="fr-FR"/>
        </w:rPr>
        <w:t xml:space="preserve">objectif </w:t>
      </w:r>
      <w:r w:rsidR="000A7BD9">
        <w:rPr>
          <w:lang w:val="fr-FR"/>
        </w:rPr>
        <w:t>du présent</w:t>
      </w:r>
      <w:r w:rsidRPr="002026C2">
        <w:rPr>
          <w:lang w:val="fr-FR"/>
        </w:rPr>
        <w:t xml:space="preserve"> questionnaire est d</w:t>
      </w:r>
      <w:r w:rsidR="00EE3F23">
        <w:rPr>
          <w:lang w:val="fr-FR"/>
        </w:rPr>
        <w:t>’</w:t>
      </w:r>
      <w:r w:rsidRPr="002026C2">
        <w:rPr>
          <w:lang w:val="fr-FR"/>
        </w:rPr>
        <w:t>offrir aux organisations non gouvernementales (ONG) représentant les utilisateurs du système de La</w:t>
      </w:r>
      <w:r w:rsidR="000A7BD9">
        <w:rPr>
          <w:lang w:val="fr-FR"/>
        </w:rPr>
        <w:t> </w:t>
      </w:r>
      <w:r w:rsidRPr="002026C2">
        <w:rPr>
          <w:lang w:val="fr-FR"/>
        </w:rPr>
        <w:t xml:space="preserve">Haye la possibilité de formuler des commentaires sur la proposition </w:t>
      </w:r>
      <w:r w:rsidR="000A7BD9">
        <w:rPr>
          <w:lang w:val="fr-FR"/>
        </w:rPr>
        <w:t xml:space="preserve">visant à </w:t>
      </w:r>
      <w:r w:rsidR="00591F07">
        <w:rPr>
          <w:lang w:val="fr-FR"/>
        </w:rPr>
        <w:t>porter</w:t>
      </w:r>
      <w:r w:rsidR="000A7BD9">
        <w:rPr>
          <w:lang w:val="fr-FR"/>
        </w:rPr>
        <w:t xml:space="preserve"> de six à 12 mois le délai</w:t>
      </w:r>
      <w:r w:rsidRPr="002026C2">
        <w:rPr>
          <w:lang w:val="fr-FR"/>
        </w:rPr>
        <w:t xml:space="preserve"> de publication </w:t>
      </w:r>
      <w:r w:rsidR="000A7BD9" w:rsidRPr="002026C2">
        <w:rPr>
          <w:lang w:val="fr-FR"/>
        </w:rPr>
        <w:t xml:space="preserve">standard </w:t>
      </w:r>
      <w:r w:rsidRPr="002026C2">
        <w:rPr>
          <w:lang w:val="fr-FR"/>
        </w:rPr>
        <w:t>des enregistrements internationaux</w:t>
      </w:r>
      <w:r w:rsidR="00E72D54" w:rsidRPr="00B85FAB">
        <w:rPr>
          <w:lang w:val="fr-FR"/>
        </w:rPr>
        <w:t xml:space="preserve">.  </w:t>
      </w:r>
    </w:p>
    <w:p w14:paraId="0374B5CB" w14:textId="0F49E6C6" w:rsidR="00E72D54" w:rsidRPr="00146A05" w:rsidRDefault="00651BD8" w:rsidP="00E72D54">
      <w:pPr>
        <w:pStyle w:val="Heading1"/>
        <w:rPr>
          <w:rFonts w:ascii="Times New Roman" w:hAnsi="Times New Roman"/>
          <w:lang w:val="fr-CH"/>
        </w:rPr>
      </w:pPr>
      <w:r w:rsidRPr="00146A05">
        <w:rPr>
          <w:lang w:val="fr-CH"/>
        </w:rPr>
        <w:t>A</w:t>
      </w:r>
      <w:r w:rsidRPr="00146A05">
        <w:rPr>
          <w:szCs w:val="22"/>
          <w:lang w:val="fr-CH"/>
        </w:rPr>
        <w:t>nt</w:t>
      </w:r>
      <w:r w:rsidRPr="00F30973">
        <w:rPr>
          <w:rFonts w:eastAsia="Times New Roman"/>
          <w:szCs w:val="22"/>
          <w:lang w:val="fr-FR"/>
        </w:rPr>
        <w:t>É</w:t>
      </w:r>
      <w:r w:rsidRPr="00146A05">
        <w:rPr>
          <w:szCs w:val="22"/>
          <w:lang w:val="fr-CH"/>
        </w:rPr>
        <w:t>c</w:t>
      </w:r>
      <w:r w:rsidRPr="00F30973">
        <w:rPr>
          <w:rFonts w:eastAsia="Times New Roman"/>
          <w:szCs w:val="22"/>
          <w:lang w:val="fr-FR"/>
        </w:rPr>
        <w:t>É</w:t>
      </w:r>
      <w:r w:rsidRPr="00146A05">
        <w:rPr>
          <w:szCs w:val="22"/>
          <w:lang w:val="fr-CH"/>
        </w:rPr>
        <w:t>dents</w:t>
      </w:r>
    </w:p>
    <w:p w14:paraId="2F6ED61C" w14:textId="0C29408A" w:rsidR="00E72D54" w:rsidRPr="00B85FAB" w:rsidRDefault="000A7BD9" w:rsidP="00E72D54">
      <w:pPr>
        <w:pStyle w:val="Heading2"/>
        <w:rPr>
          <w:lang w:val="fr-FR"/>
        </w:rPr>
      </w:pPr>
      <w:r>
        <w:rPr>
          <w:lang w:val="fr-FR"/>
        </w:rPr>
        <w:t>d</w:t>
      </w:r>
      <w:r w:rsidR="008360B4" w:rsidRPr="00F30973">
        <w:rPr>
          <w:rFonts w:eastAsia="Times New Roman"/>
          <w:sz w:val="24"/>
          <w:szCs w:val="24"/>
          <w:lang w:val="fr-FR"/>
        </w:rPr>
        <w:t>É</w:t>
      </w:r>
      <w:r>
        <w:rPr>
          <w:lang w:val="fr-FR"/>
        </w:rPr>
        <w:t xml:space="preserve">cision du groupe de travail en </w:t>
      </w:r>
      <w:r w:rsidR="00E72D54" w:rsidRPr="00B85FAB">
        <w:rPr>
          <w:lang w:val="fr-FR"/>
        </w:rPr>
        <w:t>2019</w:t>
      </w:r>
    </w:p>
    <w:p w14:paraId="4A18ADD6" w14:textId="77777777" w:rsidR="00E72D54" w:rsidRPr="00907265" w:rsidRDefault="00E72D54" w:rsidP="00E72D54">
      <w:pPr>
        <w:rPr>
          <w:lang w:val="fr-FR"/>
        </w:rPr>
      </w:pPr>
    </w:p>
    <w:p w14:paraId="2FD1D764" w14:textId="1294896F" w:rsidR="00E72D54" w:rsidRPr="00B85FAB" w:rsidRDefault="00591F07" w:rsidP="00E72D54">
      <w:pPr>
        <w:rPr>
          <w:lang w:val="fr-FR"/>
        </w:rPr>
      </w:pPr>
      <w:r w:rsidRPr="00907265">
        <w:rPr>
          <w:lang w:val="fr-FR"/>
        </w:rPr>
        <w:t xml:space="preserve">Le Groupe de travail </w:t>
      </w:r>
      <w:r w:rsidR="00743FA6" w:rsidRPr="00907265">
        <w:rPr>
          <w:lang w:val="fr-FR"/>
        </w:rPr>
        <w:t xml:space="preserve">sur le développement juridique du système de La Haye concernant l’enregistrement international des dessins et modèles industriels </w:t>
      </w:r>
      <w:r w:rsidR="00E72D54" w:rsidRPr="00907265">
        <w:rPr>
          <w:lang w:val="fr-FR"/>
        </w:rPr>
        <w:t>(</w:t>
      </w:r>
      <w:r w:rsidR="00743FA6" w:rsidRPr="00907265">
        <w:rPr>
          <w:lang w:val="fr-FR"/>
        </w:rPr>
        <w:t>ci</w:t>
      </w:r>
      <w:r w:rsidR="00743FA6" w:rsidRPr="00907265">
        <w:rPr>
          <w:lang w:val="fr-FR"/>
        </w:rPr>
        <w:noBreakHyphen/>
        <w:t xml:space="preserve">après dénommé </w:t>
      </w:r>
      <w:r w:rsidR="00E72D54" w:rsidRPr="00907265">
        <w:rPr>
          <w:lang w:val="fr-FR"/>
        </w:rPr>
        <w:t>“</w:t>
      </w:r>
      <w:r w:rsidR="00743FA6" w:rsidRPr="00907265">
        <w:rPr>
          <w:lang w:val="fr-FR"/>
        </w:rPr>
        <w:t>groupe de travail</w:t>
      </w:r>
      <w:r w:rsidR="00E72D54" w:rsidRPr="00907265">
        <w:rPr>
          <w:lang w:val="fr-FR"/>
        </w:rPr>
        <w:t xml:space="preserve">”) </w:t>
      </w:r>
      <w:r w:rsidR="009A3105" w:rsidRPr="00907265">
        <w:rPr>
          <w:lang w:val="fr-FR"/>
        </w:rPr>
        <w:t>a examiné à sa huitième session tenue à Genève du 30 octobre au 1</w:t>
      </w:r>
      <w:r w:rsidR="009A3105" w:rsidRPr="00907265">
        <w:rPr>
          <w:vertAlign w:val="superscript"/>
          <w:lang w:val="fr-FR"/>
        </w:rPr>
        <w:t>er</w:t>
      </w:r>
      <w:r w:rsidR="009A3105" w:rsidRPr="00907265">
        <w:rPr>
          <w:lang w:val="fr-FR"/>
        </w:rPr>
        <w:t> novembre 2019 une proposition visant à p</w:t>
      </w:r>
      <w:r w:rsidR="00907265" w:rsidRPr="00907265">
        <w:rPr>
          <w:lang w:val="fr-FR"/>
        </w:rPr>
        <w:t xml:space="preserve">orter de six à 12 mois le délai </w:t>
      </w:r>
      <w:r w:rsidR="00907265">
        <w:rPr>
          <w:lang w:val="fr-FR"/>
        </w:rPr>
        <w:t>de publication standard actuellement énoncé à la règle </w:t>
      </w:r>
      <w:r w:rsidR="00E72D54" w:rsidRPr="00907265">
        <w:rPr>
          <w:lang w:val="fr-FR"/>
        </w:rPr>
        <w:t>17</w:t>
      </w:r>
      <w:r w:rsidR="00907265">
        <w:rPr>
          <w:lang w:val="fr-FR"/>
        </w:rPr>
        <w:t>.</w:t>
      </w:r>
      <w:r w:rsidR="00E72D54" w:rsidRPr="00907265">
        <w:rPr>
          <w:lang w:val="fr-FR"/>
        </w:rPr>
        <w:t xml:space="preserve">1)iii) </w:t>
      </w:r>
      <w:r w:rsidR="00907265">
        <w:rPr>
          <w:lang w:val="fr-FR"/>
        </w:rPr>
        <w:t xml:space="preserve">du </w:t>
      </w:r>
      <w:r w:rsidR="00907265" w:rsidRPr="00907265">
        <w:rPr>
          <w:lang w:val="fr-FR"/>
        </w:rPr>
        <w:t>Règlement d’exécution commun à l’Acte de 1999 et l’Acte de 1960 de l’Arrangement de La</w:t>
      </w:r>
      <w:r w:rsidR="00907265">
        <w:rPr>
          <w:lang w:val="fr-FR"/>
        </w:rPr>
        <w:t> </w:t>
      </w:r>
      <w:r w:rsidR="00907265" w:rsidRPr="00907265">
        <w:rPr>
          <w:lang w:val="fr-FR"/>
        </w:rPr>
        <w:t>Haye (ci</w:t>
      </w:r>
      <w:r w:rsidR="00907265">
        <w:rPr>
          <w:lang w:val="fr-FR"/>
        </w:rPr>
        <w:noBreakHyphen/>
      </w:r>
      <w:r w:rsidR="00907265" w:rsidRPr="00907265">
        <w:rPr>
          <w:lang w:val="fr-FR"/>
        </w:rPr>
        <w:t>après dénommé “règlement d’exécution commun”</w:t>
      </w:r>
      <w:r w:rsidR="00907265" w:rsidRPr="000239C6">
        <w:rPr>
          <w:lang w:val="fr-CH"/>
        </w:rPr>
        <w:t xml:space="preserve">) </w:t>
      </w:r>
      <w:r w:rsidR="00E72D54" w:rsidRPr="00907265">
        <w:rPr>
          <w:lang w:val="fr-FR"/>
        </w:rPr>
        <w:t xml:space="preserve">(document H/LD/WG/8/6).  </w:t>
      </w:r>
      <w:r w:rsidR="00907265">
        <w:rPr>
          <w:lang w:val="fr-FR"/>
        </w:rPr>
        <w:t xml:space="preserve">À cette </w:t>
      </w:r>
      <w:r w:rsidR="00E72D54" w:rsidRPr="00907265">
        <w:rPr>
          <w:lang w:val="fr-FR"/>
        </w:rPr>
        <w:t xml:space="preserve">session, </w:t>
      </w:r>
      <w:r w:rsidR="00907265">
        <w:rPr>
          <w:lang w:val="fr-FR"/>
        </w:rPr>
        <w:t xml:space="preserve">le groupe de travail a demandé au Bureau international de l’Organisation Mondiale de la Propriété Intellectuelle (OMPI) </w:t>
      </w:r>
      <w:r w:rsidR="00463AE0">
        <w:rPr>
          <w:lang w:val="fr-FR"/>
        </w:rPr>
        <w:t xml:space="preserve">de </w:t>
      </w:r>
      <w:r w:rsidR="00E72D54" w:rsidRPr="00B85FAB">
        <w:rPr>
          <w:lang w:val="fr-FR"/>
        </w:rPr>
        <w:t>consult</w:t>
      </w:r>
      <w:r w:rsidR="00463AE0">
        <w:rPr>
          <w:lang w:val="fr-FR"/>
        </w:rPr>
        <w:t xml:space="preserve">er les groupes d’utilisateurs </w:t>
      </w:r>
      <w:r w:rsidR="00A052DB" w:rsidRPr="00146A05">
        <w:rPr>
          <w:lang w:val="fr-CH"/>
        </w:rPr>
        <w:t>à ce</w:t>
      </w:r>
      <w:r w:rsidR="00A052DB" w:rsidRPr="00A052DB">
        <w:rPr>
          <w:lang w:val="fr-FR"/>
        </w:rPr>
        <w:t xml:space="preserve"> </w:t>
      </w:r>
      <w:r w:rsidR="00463AE0">
        <w:rPr>
          <w:lang w:val="fr-FR"/>
        </w:rPr>
        <w:t xml:space="preserve">sujet et de présenter </w:t>
      </w:r>
      <w:r w:rsidR="00A052DB" w:rsidRPr="00146A05">
        <w:rPr>
          <w:lang w:val="fr-CH"/>
        </w:rPr>
        <w:t>l</w:t>
      </w:r>
      <w:r w:rsidR="00463AE0" w:rsidRPr="00A052DB">
        <w:rPr>
          <w:lang w:val="fr-FR"/>
        </w:rPr>
        <w:t xml:space="preserve">es conclusions </w:t>
      </w:r>
      <w:r w:rsidR="00A052DB" w:rsidRPr="00146A05">
        <w:rPr>
          <w:lang w:val="fr-CH"/>
        </w:rPr>
        <w:t>de cette consultation</w:t>
      </w:r>
      <w:r w:rsidR="00A052DB" w:rsidRPr="00146A05">
        <w:rPr>
          <w:rFonts w:ascii="Times New Roman" w:hAnsi="Times New Roman"/>
          <w:lang w:val="fr-CH"/>
        </w:rPr>
        <w:t xml:space="preserve"> </w:t>
      </w:r>
      <w:r w:rsidR="00463AE0">
        <w:rPr>
          <w:lang w:val="fr-FR"/>
        </w:rPr>
        <w:t>à la prochaine session du groupe de travail</w:t>
      </w:r>
      <w:r w:rsidR="00E72D54" w:rsidRPr="00B85FAB">
        <w:rPr>
          <w:lang w:val="fr-FR"/>
        </w:rPr>
        <w:t xml:space="preserve"> (</w:t>
      </w:r>
      <w:r w:rsidR="00463AE0">
        <w:rPr>
          <w:lang w:val="fr-FR"/>
        </w:rPr>
        <w:t xml:space="preserve">paragraphe 20 du </w:t>
      </w:r>
      <w:r w:rsidR="00E72D54" w:rsidRPr="00B85FAB">
        <w:rPr>
          <w:lang w:val="fr-FR"/>
        </w:rPr>
        <w:t>document H/LD/WG/8/8 “</w:t>
      </w:r>
      <w:r w:rsidR="00463AE0">
        <w:rPr>
          <w:lang w:val="fr-FR"/>
        </w:rPr>
        <w:t>Résumé présenté par le président</w:t>
      </w:r>
      <w:r w:rsidR="00E72D54" w:rsidRPr="00B85FAB">
        <w:rPr>
          <w:lang w:val="fr-FR"/>
        </w:rPr>
        <w:t xml:space="preserve">”). </w:t>
      </w:r>
    </w:p>
    <w:p w14:paraId="2040D958" w14:textId="77777777" w:rsidR="0047681D" w:rsidRPr="00B85FAB" w:rsidRDefault="0047681D" w:rsidP="00E72D54">
      <w:pPr>
        <w:pStyle w:val="Heading2"/>
        <w:rPr>
          <w:lang w:val="fr-FR"/>
        </w:rPr>
      </w:pPr>
    </w:p>
    <w:p w14:paraId="72DEB96A" w14:textId="77777777" w:rsidR="0047681D" w:rsidRPr="00B85FAB" w:rsidRDefault="0047681D" w:rsidP="00E72D54">
      <w:pPr>
        <w:pStyle w:val="Heading2"/>
        <w:rPr>
          <w:lang w:val="fr-FR"/>
        </w:rPr>
      </w:pPr>
    </w:p>
    <w:p w14:paraId="657C1D67" w14:textId="77777777" w:rsidR="0047681D" w:rsidRPr="00B85FAB" w:rsidRDefault="0047681D" w:rsidP="00E72D54">
      <w:pPr>
        <w:pStyle w:val="Heading2"/>
        <w:rPr>
          <w:lang w:val="fr-FR"/>
        </w:rPr>
      </w:pPr>
    </w:p>
    <w:p w14:paraId="6580E909" w14:textId="77777777" w:rsidR="0047681D" w:rsidRPr="00B85FAB" w:rsidRDefault="0047681D" w:rsidP="00E72D54">
      <w:pPr>
        <w:pStyle w:val="Heading2"/>
        <w:rPr>
          <w:lang w:val="fr-FR"/>
        </w:rPr>
      </w:pPr>
    </w:p>
    <w:p w14:paraId="1D78D856" w14:textId="77777777" w:rsidR="0047681D" w:rsidRPr="00B85FAB" w:rsidRDefault="0047681D" w:rsidP="00E72D54">
      <w:pPr>
        <w:pStyle w:val="Heading2"/>
        <w:rPr>
          <w:lang w:val="fr-FR"/>
        </w:rPr>
      </w:pPr>
    </w:p>
    <w:p w14:paraId="40101B75" w14:textId="77777777" w:rsidR="0047681D" w:rsidRPr="00B85FAB" w:rsidRDefault="0047681D" w:rsidP="0047681D">
      <w:pPr>
        <w:rPr>
          <w:lang w:val="fr-FR" w:eastAsia="en-US"/>
        </w:rPr>
      </w:pPr>
    </w:p>
    <w:p w14:paraId="44FA2488" w14:textId="77777777" w:rsidR="0047681D" w:rsidRPr="00B85FAB" w:rsidRDefault="0047681D" w:rsidP="0047681D">
      <w:pPr>
        <w:rPr>
          <w:lang w:val="fr-FR" w:eastAsia="en-US"/>
        </w:rPr>
      </w:pPr>
    </w:p>
    <w:p w14:paraId="4B5844C1" w14:textId="77777777" w:rsidR="00210C47" w:rsidRPr="00B85FAB" w:rsidRDefault="00210C47">
      <w:pPr>
        <w:rPr>
          <w:lang w:val="fr-FR" w:eastAsia="en-US"/>
        </w:rPr>
      </w:pPr>
      <w:r w:rsidRPr="00B85FAB">
        <w:rPr>
          <w:lang w:val="fr-FR" w:eastAsia="en-US"/>
        </w:rPr>
        <w:br w:type="page"/>
      </w:r>
    </w:p>
    <w:p w14:paraId="145287AB" w14:textId="3D144B0E" w:rsidR="00E72D54" w:rsidRPr="00B85FAB" w:rsidRDefault="00463AE0" w:rsidP="00E72D54">
      <w:pPr>
        <w:pStyle w:val="Heading2"/>
        <w:rPr>
          <w:lang w:val="fr-FR"/>
        </w:rPr>
      </w:pPr>
      <w:r>
        <w:rPr>
          <w:lang w:val="fr-FR"/>
        </w:rPr>
        <w:lastRenderedPageBreak/>
        <w:t xml:space="preserve">dispositions </w:t>
      </w:r>
      <w:r w:rsidR="00AB37F8">
        <w:rPr>
          <w:lang w:val="fr-FR"/>
        </w:rPr>
        <w:t xml:space="preserve">relatives à la </w:t>
      </w:r>
      <w:r w:rsidR="00E72D54" w:rsidRPr="00B85FAB">
        <w:rPr>
          <w:lang w:val="fr-FR"/>
        </w:rPr>
        <w:t xml:space="preserve">publication </w:t>
      </w:r>
      <w:r w:rsidR="006C0C91">
        <w:rPr>
          <w:lang w:val="fr-FR"/>
        </w:rPr>
        <w:t xml:space="preserve">actuellement en vigueur </w:t>
      </w:r>
      <w:r w:rsidR="00AB37F8">
        <w:rPr>
          <w:lang w:val="fr-FR"/>
        </w:rPr>
        <w:t>dans le syst</w:t>
      </w:r>
      <w:r w:rsidR="008360B4" w:rsidRPr="00146A05">
        <w:rPr>
          <w:rFonts w:eastAsia="Times New Roman"/>
          <w:sz w:val="24"/>
          <w:szCs w:val="24"/>
          <w:lang w:val="fr-FR"/>
        </w:rPr>
        <w:t>È</w:t>
      </w:r>
      <w:r w:rsidR="00AB37F8">
        <w:rPr>
          <w:lang w:val="fr-FR"/>
        </w:rPr>
        <w:t>me de la </w:t>
      </w:r>
      <w:r w:rsidR="00E72D54" w:rsidRPr="00B85FAB">
        <w:rPr>
          <w:lang w:val="fr-FR"/>
        </w:rPr>
        <w:t>ha</w:t>
      </w:r>
      <w:r w:rsidR="00AB37F8">
        <w:rPr>
          <w:lang w:val="fr-FR"/>
        </w:rPr>
        <w:t>y</w:t>
      </w:r>
      <w:r w:rsidR="00E72D54" w:rsidRPr="00B85FAB">
        <w:rPr>
          <w:lang w:val="fr-FR"/>
        </w:rPr>
        <w:t>e</w:t>
      </w:r>
    </w:p>
    <w:p w14:paraId="3D2B5FA5" w14:textId="77777777" w:rsidR="00E72D54" w:rsidRPr="00B85FAB" w:rsidRDefault="00E72D54" w:rsidP="00E72D54">
      <w:pPr>
        <w:rPr>
          <w:lang w:val="fr-FR"/>
        </w:rPr>
      </w:pPr>
    </w:p>
    <w:p w14:paraId="44012372" w14:textId="7E8E4CD3" w:rsidR="00E72D54" w:rsidRPr="00B85FAB" w:rsidRDefault="00AB37F8" w:rsidP="00E72D54">
      <w:pPr>
        <w:rPr>
          <w:lang w:val="fr-FR"/>
        </w:rPr>
      </w:pPr>
      <w:r w:rsidRPr="00AB37F8">
        <w:rPr>
          <w:lang w:val="fr-FR"/>
        </w:rPr>
        <w:t>En général, la publication d</w:t>
      </w:r>
      <w:r w:rsidR="00EE3F23">
        <w:rPr>
          <w:lang w:val="fr-FR"/>
        </w:rPr>
        <w:t>’</w:t>
      </w:r>
      <w:r w:rsidRPr="00AB37F8">
        <w:rPr>
          <w:lang w:val="fr-FR"/>
        </w:rPr>
        <w:t xml:space="preserve">un enregistrement international a lieu </w:t>
      </w:r>
      <w:r w:rsidRPr="00AB37F8">
        <w:rPr>
          <w:u w:val="single"/>
          <w:lang w:val="fr-FR"/>
        </w:rPr>
        <w:t>six</w:t>
      </w:r>
      <w:r w:rsidR="006C0C91">
        <w:rPr>
          <w:u w:val="single"/>
          <w:lang w:val="fr-FR"/>
        </w:rPr>
        <w:t> </w:t>
      </w:r>
      <w:r w:rsidRPr="00AB37F8">
        <w:rPr>
          <w:u w:val="single"/>
          <w:lang w:val="fr-FR"/>
        </w:rPr>
        <w:t>mois</w:t>
      </w:r>
      <w:r w:rsidRPr="00AB37F8">
        <w:rPr>
          <w:lang w:val="fr-FR"/>
        </w:rPr>
        <w:t xml:space="preserve"> après la date de l</w:t>
      </w:r>
      <w:r w:rsidR="00EE3F23">
        <w:rPr>
          <w:lang w:val="fr-FR"/>
        </w:rPr>
        <w:t>’</w:t>
      </w:r>
      <w:r w:rsidRPr="00AB37F8">
        <w:rPr>
          <w:lang w:val="fr-FR"/>
        </w:rPr>
        <w:t xml:space="preserve">enregistrement international </w:t>
      </w:r>
      <w:r w:rsidR="00E72D54" w:rsidRPr="00B85FAB">
        <w:rPr>
          <w:lang w:val="fr-FR"/>
        </w:rPr>
        <w:t>(</w:t>
      </w:r>
      <w:r w:rsidRPr="00AB37F8">
        <w:rPr>
          <w:lang w:val="fr-FR"/>
        </w:rPr>
        <w:t>ci</w:t>
      </w:r>
      <w:r>
        <w:rPr>
          <w:lang w:val="fr-FR"/>
        </w:rPr>
        <w:noBreakHyphen/>
      </w:r>
      <w:r w:rsidRPr="00AB37F8">
        <w:rPr>
          <w:lang w:val="fr-FR"/>
        </w:rPr>
        <w:t xml:space="preserve">après dénommée </w:t>
      </w:r>
      <w:r w:rsidR="00E72D54" w:rsidRPr="00B85FAB">
        <w:rPr>
          <w:lang w:val="fr-FR"/>
        </w:rPr>
        <w:t>“publication</w:t>
      </w:r>
      <w:r w:rsidRPr="00AB37F8">
        <w:rPr>
          <w:lang w:val="fr-FR"/>
        </w:rPr>
        <w:t xml:space="preserve"> </w:t>
      </w:r>
      <w:r w:rsidRPr="00B85FAB">
        <w:rPr>
          <w:lang w:val="fr-FR"/>
        </w:rPr>
        <w:t>standard</w:t>
      </w:r>
      <w:r w:rsidR="00E72D54" w:rsidRPr="00B85FAB">
        <w:rPr>
          <w:lang w:val="fr-FR"/>
        </w:rPr>
        <w:t xml:space="preserve">”), </w:t>
      </w:r>
      <w:r w:rsidRPr="00AB37F8">
        <w:rPr>
          <w:lang w:val="fr-FR"/>
        </w:rPr>
        <w:t xml:space="preserve">sauf si le </w:t>
      </w:r>
      <w:r>
        <w:rPr>
          <w:lang w:val="fr-FR"/>
        </w:rPr>
        <w:t>déposant</w:t>
      </w:r>
      <w:r w:rsidRPr="00AB37F8">
        <w:rPr>
          <w:lang w:val="fr-FR"/>
        </w:rPr>
        <w:t xml:space="preserve"> a demandé une publication immédiate ou un ajournement de la publication, </w:t>
      </w:r>
      <w:r w:rsidR="00206E6C">
        <w:rPr>
          <w:lang w:val="fr-FR"/>
        </w:rPr>
        <w:t>pour une période maximum de</w:t>
      </w:r>
      <w:r w:rsidRPr="00AB37F8">
        <w:rPr>
          <w:lang w:val="fr-FR"/>
        </w:rPr>
        <w:t xml:space="preserve"> 30</w:t>
      </w:r>
      <w:r>
        <w:rPr>
          <w:lang w:val="fr-FR"/>
        </w:rPr>
        <w:t> </w:t>
      </w:r>
      <w:r w:rsidRPr="00AB37F8">
        <w:rPr>
          <w:lang w:val="fr-FR"/>
        </w:rPr>
        <w:t>mois en vertu de l</w:t>
      </w:r>
      <w:r w:rsidR="00EE3F23">
        <w:rPr>
          <w:lang w:val="fr-FR"/>
        </w:rPr>
        <w:t>’</w:t>
      </w:r>
      <w:r>
        <w:rPr>
          <w:lang w:val="fr-FR"/>
        </w:rPr>
        <w:t>A</w:t>
      </w:r>
      <w:r w:rsidRPr="00AB37F8">
        <w:rPr>
          <w:lang w:val="fr-FR"/>
        </w:rPr>
        <w:t xml:space="preserve">cte de Genève (1999) ou </w:t>
      </w:r>
      <w:r w:rsidR="00206E6C">
        <w:rPr>
          <w:lang w:val="fr-FR"/>
        </w:rPr>
        <w:t xml:space="preserve">pour une période maximum de </w:t>
      </w:r>
      <w:r w:rsidRPr="00AB37F8">
        <w:rPr>
          <w:lang w:val="fr-FR"/>
        </w:rPr>
        <w:t>12</w:t>
      </w:r>
      <w:r>
        <w:rPr>
          <w:lang w:val="fr-FR"/>
        </w:rPr>
        <w:t> </w:t>
      </w:r>
      <w:r w:rsidRPr="00AB37F8">
        <w:rPr>
          <w:lang w:val="fr-FR"/>
        </w:rPr>
        <w:t>mois en vertu de l</w:t>
      </w:r>
      <w:r w:rsidR="00EE3F23">
        <w:rPr>
          <w:lang w:val="fr-FR"/>
        </w:rPr>
        <w:t>’</w:t>
      </w:r>
      <w:r>
        <w:rPr>
          <w:lang w:val="fr-FR"/>
        </w:rPr>
        <w:t>A</w:t>
      </w:r>
      <w:r w:rsidRPr="00AB37F8">
        <w:rPr>
          <w:lang w:val="fr-FR"/>
        </w:rPr>
        <w:t>cte de La</w:t>
      </w:r>
      <w:r>
        <w:rPr>
          <w:lang w:val="fr-FR"/>
        </w:rPr>
        <w:t> </w:t>
      </w:r>
      <w:r w:rsidRPr="00AB37F8">
        <w:rPr>
          <w:lang w:val="fr-FR"/>
        </w:rPr>
        <w:t xml:space="preserve">Haye (1960), à </w:t>
      </w:r>
      <w:r w:rsidR="00206E6C">
        <w:rPr>
          <w:lang w:val="fr-FR"/>
        </w:rPr>
        <w:t>compter</w:t>
      </w:r>
      <w:r w:rsidRPr="00AB37F8">
        <w:rPr>
          <w:lang w:val="fr-FR"/>
        </w:rPr>
        <w:t xml:space="preserve"> de la date de dépôt ou, lorsqu</w:t>
      </w:r>
      <w:r w:rsidR="00EE3F23">
        <w:rPr>
          <w:lang w:val="fr-FR"/>
        </w:rPr>
        <w:t>’</w:t>
      </w:r>
      <w:r w:rsidRPr="00AB37F8">
        <w:rPr>
          <w:lang w:val="fr-FR"/>
        </w:rPr>
        <w:t xml:space="preserve">une priorité est revendiquée, à </w:t>
      </w:r>
      <w:r w:rsidR="00206E6C">
        <w:rPr>
          <w:lang w:val="fr-FR"/>
        </w:rPr>
        <w:t>compter</w:t>
      </w:r>
      <w:r w:rsidRPr="00AB37F8">
        <w:rPr>
          <w:lang w:val="fr-FR"/>
        </w:rPr>
        <w:t xml:space="preserve"> de la date de priorité</w:t>
      </w:r>
      <w:r w:rsidR="00E72D54" w:rsidRPr="00B85FAB">
        <w:rPr>
          <w:rStyle w:val="FootnoteReference"/>
          <w:lang w:val="fr-FR"/>
        </w:rPr>
        <w:footnoteReference w:id="1"/>
      </w:r>
      <w:r w:rsidR="00E72D54" w:rsidRPr="00B85FAB">
        <w:rPr>
          <w:lang w:val="fr-FR"/>
        </w:rPr>
        <w:t xml:space="preserve">.  </w:t>
      </w:r>
    </w:p>
    <w:p w14:paraId="7AB99278" w14:textId="77777777" w:rsidR="00AB37F8" w:rsidRDefault="00AB37F8" w:rsidP="00E72D54">
      <w:pPr>
        <w:rPr>
          <w:lang w:val="fr-FR"/>
        </w:rPr>
      </w:pPr>
    </w:p>
    <w:p w14:paraId="3C34FF6D" w14:textId="7D43E033" w:rsidR="00E72D54" w:rsidRPr="00B85FAB" w:rsidRDefault="00206E6C" w:rsidP="00E72D54">
      <w:pPr>
        <w:rPr>
          <w:lang w:val="fr-FR"/>
        </w:rPr>
      </w:pPr>
      <w:r>
        <w:rPr>
          <w:lang w:val="fr-FR"/>
        </w:rPr>
        <w:t>E</w:t>
      </w:r>
      <w:r w:rsidR="007849CB" w:rsidRPr="007849CB">
        <w:rPr>
          <w:lang w:val="fr-FR"/>
        </w:rPr>
        <w:t xml:space="preserve">n </w:t>
      </w:r>
      <w:r w:rsidR="007849CB">
        <w:rPr>
          <w:lang w:val="fr-FR"/>
        </w:rPr>
        <w:t>vertu de</w:t>
      </w:r>
      <w:r w:rsidR="007849CB" w:rsidRPr="007849CB">
        <w:rPr>
          <w:lang w:val="fr-FR"/>
        </w:rPr>
        <w:t xml:space="preserve"> l</w:t>
      </w:r>
      <w:r w:rsidR="00EE3F23">
        <w:rPr>
          <w:lang w:val="fr-FR"/>
        </w:rPr>
        <w:t>’</w:t>
      </w:r>
      <w:r w:rsidR="007849CB">
        <w:rPr>
          <w:lang w:val="fr-FR"/>
        </w:rPr>
        <w:t>A</w:t>
      </w:r>
      <w:r w:rsidR="007849CB" w:rsidRPr="007849CB">
        <w:rPr>
          <w:lang w:val="fr-FR"/>
        </w:rPr>
        <w:t xml:space="preserve">cte de 1999, </w:t>
      </w:r>
      <w:r>
        <w:rPr>
          <w:lang w:val="fr-FR"/>
        </w:rPr>
        <w:t>t</w:t>
      </w:r>
      <w:r w:rsidRPr="007849CB">
        <w:rPr>
          <w:lang w:val="fr-FR"/>
        </w:rPr>
        <w:t>outefois,</w:t>
      </w:r>
      <w:r>
        <w:rPr>
          <w:lang w:val="fr-FR"/>
        </w:rPr>
        <w:t xml:space="preserve"> </w:t>
      </w:r>
      <w:r w:rsidR="007849CB" w:rsidRPr="007849CB">
        <w:rPr>
          <w:lang w:val="fr-FR"/>
        </w:rPr>
        <w:t xml:space="preserve">certaines parties contractantes ont </w:t>
      </w:r>
      <w:r w:rsidR="007849CB">
        <w:rPr>
          <w:lang w:val="fr-FR"/>
        </w:rPr>
        <w:t xml:space="preserve">fait une déclaration selon laquelle </w:t>
      </w:r>
      <w:r w:rsidR="007849CB" w:rsidRPr="007849CB">
        <w:rPr>
          <w:lang w:val="fr-FR"/>
        </w:rPr>
        <w:t xml:space="preserve">leur législation nationale prévoit une période </w:t>
      </w:r>
      <w:r>
        <w:rPr>
          <w:lang w:val="fr-FR"/>
        </w:rPr>
        <w:t>d’ajournement</w:t>
      </w:r>
      <w:r w:rsidR="007849CB" w:rsidRPr="007849CB">
        <w:rPr>
          <w:lang w:val="fr-FR"/>
        </w:rPr>
        <w:t xml:space="preserve"> inférieure à 30</w:t>
      </w:r>
      <w:r w:rsidR="00EE3F23">
        <w:rPr>
          <w:lang w:val="fr-FR"/>
        </w:rPr>
        <w:t> </w:t>
      </w:r>
      <w:r w:rsidR="007849CB" w:rsidRPr="007849CB">
        <w:rPr>
          <w:lang w:val="fr-FR"/>
        </w:rPr>
        <w:t>mois</w:t>
      </w:r>
      <w:r w:rsidR="00E72D54" w:rsidRPr="00B85FAB">
        <w:rPr>
          <w:rStyle w:val="FootnoteReference"/>
          <w:lang w:val="fr-FR"/>
        </w:rPr>
        <w:footnoteReference w:id="2"/>
      </w:r>
      <w:r w:rsidR="00E72D54" w:rsidRPr="00B85FAB">
        <w:rPr>
          <w:lang w:val="fr-FR"/>
        </w:rPr>
        <w:t xml:space="preserve">.  </w:t>
      </w:r>
      <w:r w:rsidRPr="00206E6C">
        <w:rPr>
          <w:lang w:val="fr-FR"/>
        </w:rPr>
        <w:t>À ce jour, 16 parties contractantes ont fait une telle déclaration</w:t>
      </w:r>
      <w:r w:rsidR="00E72D54" w:rsidRPr="00B85FAB">
        <w:rPr>
          <w:rStyle w:val="FootnoteReference"/>
          <w:lang w:val="fr-FR"/>
        </w:rPr>
        <w:footnoteReference w:id="3"/>
      </w:r>
      <w:r w:rsidR="00E72D54" w:rsidRPr="00B85FAB">
        <w:rPr>
          <w:lang w:val="fr-FR"/>
        </w:rPr>
        <w:t xml:space="preserve">.  </w:t>
      </w:r>
      <w:r w:rsidRPr="00206E6C">
        <w:rPr>
          <w:lang w:val="fr-FR"/>
        </w:rPr>
        <w:t>En outre, d</w:t>
      </w:r>
      <w:r w:rsidR="00EE3F23">
        <w:rPr>
          <w:lang w:val="fr-FR"/>
        </w:rPr>
        <w:t>’</w:t>
      </w:r>
      <w:r w:rsidRPr="00206E6C">
        <w:rPr>
          <w:lang w:val="fr-FR"/>
        </w:rPr>
        <w:t>autres parties contractantes ont déclaré que leur législation ne prévoit aucun ajournement de la publication</w:t>
      </w:r>
      <w:r w:rsidR="00E72D54" w:rsidRPr="00B85FAB">
        <w:rPr>
          <w:rStyle w:val="FootnoteReference"/>
          <w:lang w:val="fr-FR"/>
        </w:rPr>
        <w:footnoteReference w:id="4"/>
      </w:r>
      <w:r w:rsidR="00E72D54" w:rsidRPr="00B85FAB">
        <w:rPr>
          <w:lang w:val="fr-FR"/>
        </w:rPr>
        <w:t xml:space="preserve">.  </w:t>
      </w:r>
      <w:r w:rsidRPr="00206E6C">
        <w:rPr>
          <w:lang w:val="fr-FR"/>
        </w:rPr>
        <w:t xml:space="preserve">À ce jour, neuf parties contractantes ont fait </w:t>
      </w:r>
      <w:r>
        <w:rPr>
          <w:lang w:val="fr-FR"/>
        </w:rPr>
        <w:t>une t</w:t>
      </w:r>
      <w:r w:rsidRPr="00206E6C">
        <w:rPr>
          <w:lang w:val="fr-FR"/>
        </w:rPr>
        <w:t>e</w:t>
      </w:r>
      <w:r>
        <w:rPr>
          <w:lang w:val="fr-FR"/>
        </w:rPr>
        <w:t>ll</w:t>
      </w:r>
      <w:r w:rsidRPr="00206E6C">
        <w:rPr>
          <w:lang w:val="fr-FR"/>
        </w:rPr>
        <w:t>e déclaration</w:t>
      </w:r>
      <w:r w:rsidR="00E72D54" w:rsidRPr="00B85FAB">
        <w:rPr>
          <w:rStyle w:val="FootnoteReference"/>
          <w:lang w:val="fr-FR"/>
        </w:rPr>
        <w:footnoteReference w:id="5"/>
      </w:r>
      <w:r w:rsidR="00E72D54" w:rsidRPr="00B85FAB">
        <w:rPr>
          <w:lang w:val="fr-FR"/>
        </w:rPr>
        <w:t xml:space="preserve">.  </w:t>
      </w:r>
    </w:p>
    <w:p w14:paraId="5837DFEC" w14:textId="77777777" w:rsidR="00A94123" w:rsidRPr="00B85FAB" w:rsidRDefault="00A94123" w:rsidP="00E72D54">
      <w:pPr>
        <w:rPr>
          <w:lang w:val="fr-FR"/>
        </w:rPr>
      </w:pPr>
    </w:p>
    <w:p w14:paraId="72964D14" w14:textId="77777777" w:rsidR="00E72D54" w:rsidRDefault="006C0C91" w:rsidP="00E72D54">
      <w:pPr>
        <w:pStyle w:val="BodyText"/>
        <w:rPr>
          <w:lang w:val="fr-FR"/>
        </w:rPr>
      </w:pPr>
      <w:r>
        <w:rPr>
          <w:lang w:val="fr-FR"/>
        </w:rPr>
        <w:t xml:space="preserve">Dès lors, </w:t>
      </w:r>
      <w:r w:rsidRPr="006C0C91">
        <w:rPr>
          <w:lang w:val="fr-FR"/>
        </w:rPr>
        <w:t xml:space="preserve">si la demande internationale désigne </w:t>
      </w:r>
      <w:r w:rsidR="00FB69F6">
        <w:rPr>
          <w:lang w:val="fr-FR"/>
        </w:rPr>
        <w:t>“</w:t>
      </w:r>
      <w:r w:rsidRPr="006C0C91">
        <w:rPr>
          <w:lang w:val="fr-FR"/>
        </w:rPr>
        <w:t>une</w:t>
      </w:r>
      <w:r w:rsidR="00FB69F6">
        <w:rPr>
          <w:lang w:val="fr-FR"/>
        </w:rPr>
        <w:t>”</w:t>
      </w:r>
      <w:r w:rsidRPr="006C0C91">
        <w:rPr>
          <w:lang w:val="fr-FR"/>
        </w:rPr>
        <w:t xml:space="preserve"> partie contractante qui a fait une déclaration en vertu de l</w:t>
      </w:r>
      <w:r w:rsidR="00EE3F23">
        <w:rPr>
          <w:lang w:val="fr-FR"/>
        </w:rPr>
        <w:t>’</w:t>
      </w:r>
      <w:r w:rsidRPr="006C0C91">
        <w:rPr>
          <w:lang w:val="fr-FR"/>
        </w:rPr>
        <w:t>Acte de 1999 selon laquelle l</w:t>
      </w:r>
      <w:r w:rsidR="00EE3F23">
        <w:rPr>
          <w:lang w:val="fr-FR"/>
        </w:rPr>
        <w:t>’</w:t>
      </w:r>
      <w:r w:rsidRPr="006C0C91">
        <w:rPr>
          <w:lang w:val="fr-FR"/>
        </w:rPr>
        <w:t>ajournement de la publication n</w:t>
      </w:r>
      <w:r w:rsidR="00EE3F23">
        <w:rPr>
          <w:lang w:val="fr-FR"/>
        </w:rPr>
        <w:t>’</w:t>
      </w:r>
      <w:r w:rsidRPr="006C0C91">
        <w:rPr>
          <w:lang w:val="fr-FR"/>
        </w:rPr>
        <w:t>est pas du tout possible en vertu de sa législation, le déposant ne peut pas bénéficier d</w:t>
      </w:r>
      <w:r w:rsidR="00EE3F23">
        <w:rPr>
          <w:lang w:val="fr-FR"/>
        </w:rPr>
        <w:t>’</w:t>
      </w:r>
      <w:r w:rsidRPr="006C0C91">
        <w:rPr>
          <w:lang w:val="fr-FR"/>
        </w:rPr>
        <w:t>un ajournement de la publication, et la publication a lieu six</w:t>
      </w:r>
      <w:r w:rsidR="00EE3F23">
        <w:rPr>
          <w:lang w:val="fr-FR"/>
        </w:rPr>
        <w:t> </w:t>
      </w:r>
      <w:r w:rsidRPr="006C0C91">
        <w:rPr>
          <w:lang w:val="fr-FR"/>
        </w:rPr>
        <w:t>mois après la date de l</w:t>
      </w:r>
      <w:r w:rsidR="00EE3F23">
        <w:rPr>
          <w:lang w:val="fr-FR"/>
        </w:rPr>
        <w:t>’</w:t>
      </w:r>
      <w:r w:rsidRPr="006C0C91">
        <w:rPr>
          <w:lang w:val="fr-FR"/>
        </w:rPr>
        <w:t>enregistrement international</w:t>
      </w:r>
      <w:r w:rsidR="00E72D54" w:rsidRPr="00B85FAB">
        <w:rPr>
          <w:lang w:val="fr-FR"/>
        </w:rPr>
        <w:t>.</w:t>
      </w:r>
    </w:p>
    <w:p w14:paraId="0B17EB22" w14:textId="77777777" w:rsidR="00E72D54" w:rsidRPr="00B85FAB" w:rsidRDefault="006C0C91" w:rsidP="00E72D54">
      <w:pPr>
        <w:pStyle w:val="Heading2"/>
        <w:rPr>
          <w:lang w:val="fr-FR"/>
        </w:rPr>
      </w:pPr>
      <w:r>
        <w:rPr>
          <w:lang w:val="fr-FR"/>
        </w:rPr>
        <w:t>contexte h</w:t>
      </w:r>
      <w:r w:rsidR="00E72D54" w:rsidRPr="00B85FAB">
        <w:rPr>
          <w:lang w:val="fr-FR"/>
        </w:rPr>
        <w:t>istori</w:t>
      </w:r>
      <w:r>
        <w:rPr>
          <w:lang w:val="fr-FR"/>
        </w:rPr>
        <w:t>que et situation actuelle</w:t>
      </w:r>
    </w:p>
    <w:p w14:paraId="2FA43C5D" w14:textId="77777777" w:rsidR="00E72D54" w:rsidRPr="00B85FAB" w:rsidRDefault="00E72D54" w:rsidP="00E72D54">
      <w:pPr>
        <w:rPr>
          <w:lang w:val="fr-FR"/>
        </w:rPr>
      </w:pPr>
    </w:p>
    <w:p w14:paraId="4AAC7A6D" w14:textId="77777777" w:rsidR="00E72D54" w:rsidRDefault="006C0C91" w:rsidP="00E72D54">
      <w:pPr>
        <w:tabs>
          <w:tab w:val="num" w:pos="567"/>
        </w:tabs>
        <w:spacing w:after="220"/>
        <w:rPr>
          <w:lang w:val="fr-FR"/>
        </w:rPr>
      </w:pPr>
      <w:r w:rsidRPr="006C0C91">
        <w:rPr>
          <w:lang w:val="fr-FR"/>
        </w:rPr>
        <w:t>Le délai actuel de six</w:t>
      </w:r>
      <w:r>
        <w:rPr>
          <w:lang w:val="fr-FR"/>
        </w:rPr>
        <w:t> </w:t>
      </w:r>
      <w:r w:rsidRPr="006C0C91">
        <w:rPr>
          <w:lang w:val="fr-FR"/>
        </w:rPr>
        <w:t>mois pour la publication standard a été convenu et adopté lors de la Conférence diplomatique pour l</w:t>
      </w:r>
      <w:r w:rsidR="00EE3F23">
        <w:rPr>
          <w:lang w:val="fr-FR"/>
        </w:rPr>
        <w:t>’</w:t>
      </w:r>
      <w:r w:rsidRPr="006C0C91">
        <w:rPr>
          <w:lang w:val="fr-FR"/>
        </w:rPr>
        <w:t>adoption d</w:t>
      </w:r>
      <w:r w:rsidR="00EE3F23">
        <w:rPr>
          <w:lang w:val="fr-FR"/>
        </w:rPr>
        <w:t>’</w:t>
      </w:r>
      <w:r w:rsidRPr="006C0C91">
        <w:rPr>
          <w:lang w:val="fr-FR"/>
        </w:rPr>
        <w:t>un nouvel acte de l</w:t>
      </w:r>
      <w:r w:rsidR="00EE3F23">
        <w:rPr>
          <w:lang w:val="fr-FR"/>
        </w:rPr>
        <w:t>’</w:t>
      </w:r>
      <w:r w:rsidRPr="006C0C91">
        <w:rPr>
          <w:lang w:val="fr-FR"/>
        </w:rPr>
        <w:t xml:space="preserve">Arrangement de La Haye concernant le dépôt international des dessins et modèles industriels (Acte de Genève) en 1999, suite à une </w:t>
      </w:r>
      <w:r>
        <w:rPr>
          <w:lang w:val="fr-FR"/>
        </w:rPr>
        <w:t>proposition</w:t>
      </w:r>
      <w:r w:rsidRPr="006C0C91">
        <w:rPr>
          <w:lang w:val="fr-FR"/>
        </w:rPr>
        <w:t xml:space="preserve"> du Comité d</w:t>
      </w:r>
      <w:r w:rsidR="00EE3F23">
        <w:rPr>
          <w:lang w:val="fr-FR"/>
        </w:rPr>
        <w:t>’</w:t>
      </w:r>
      <w:r w:rsidRPr="006C0C91">
        <w:rPr>
          <w:lang w:val="fr-FR"/>
        </w:rPr>
        <w:t>experts sur le développement de l</w:t>
      </w:r>
      <w:r w:rsidR="00EE3F23">
        <w:rPr>
          <w:lang w:val="fr-FR"/>
        </w:rPr>
        <w:t>’</w:t>
      </w:r>
      <w:r w:rsidRPr="006C0C91">
        <w:rPr>
          <w:lang w:val="fr-FR"/>
        </w:rPr>
        <w:t>Arrangement de La Haye concernant le dépôt international des dessins et modèles industriels</w:t>
      </w:r>
      <w:r w:rsidR="00E72D54" w:rsidRPr="00B85FAB">
        <w:rPr>
          <w:lang w:val="fr-FR"/>
        </w:rPr>
        <w:t>.</w:t>
      </w:r>
    </w:p>
    <w:p w14:paraId="55E17BBE" w14:textId="78C82953" w:rsidR="00E72D54" w:rsidRDefault="000A42DD" w:rsidP="00E72D54">
      <w:pPr>
        <w:tabs>
          <w:tab w:val="num" w:pos="567"/>
        </w:tabs>
        <w:spacing w:after="220"/>
        <w:rPr>
          <w:lang w:val="fr-FR"/>
        </w:rPr>
      </w:pPr>
      <w:r w:rsidRPr="000A42DD">
        <w:rPr>
          <w:lang w:val="fr-FR"/>
        </w:rPr>
        <w:t xml:space="preserve">Cette proposition tenait compte du fait que </w:t>
      </w:r>
      <w:r>
        <w:rPr>
          <w:lang w:val="fr-FR"/>
        </w:rPr>
        <w:t xml:space="preserve">dans </w:t>
      </w:r>
      <w:r w:rsidRPr="000A42DD">
        <w:rPr>
          <w:lang w:val="fr-FR"/>
        </w:rPr>
        <w:t xml:space="preserve">certaines </w:t>
      </w:r>
      <w:r w:rsidR="00A315AC">
        <w:rPr>
          <w:lang w:val="fr-FR"/>
        </w:rPr>
        <w:t>systèmes</w:t>
      </w:r>
      <w:r w:rsidR="00A315AC" w:rsidRPr="000A42DD">
        <w:rPr>
          <w:lang w:val="fr-FR"/>
        </w:rPr>
        <w:t xml:space="preserve"> </w:t>
      </w:r>
      <w:r w:rsidRPr="000A42DD">
        <w:rPr>
          <w:lang w:val="fr-FR"/>
        </w:rPr>
        <w:t>nation</w:t>
      </w:r>
      <w:r w:rsidR="00295065">
        <w:rPr>
          <w:lang w:val="fr-FR"/>
        </w:rPr>
        <w:t>aux</w:t>
      </w:r>
      <w:r w:rsidRPr="000A42DD">
        <w:rPr>
          <w:lang w:val="fr-FR"/>
        </w:rPr>
        <w:t xml:space="preserve"> et régiona</w:t>
      </w:r>
      <w:r w:rsidR="00295065">
        <w:rPr>
          <w:lang w:val="fr-FR"/>
        </w:rPr>
        <w:t>ux</w:t>
      </w:r>
      <w:r w:rsidR="00E72D54" w:rsidRPr="00B85FAB">
        <w:rPr>
          <w:lang w:val="fr-FR"/>
        </w:rPr>
        <w:t xml:space="preserve">, </w:t>
      </w:r>
      <w:r>
        <w:rPr>
          <w:lang w:val="fr-FR"/>
        </w:rPr>
        <w:t>un</w:t>
      </w:r>
      <w:r w:rsidR="00E72D54" w:rsidRPr="00B85FAB">
        <w:rPr>
          <w:lang w:val="fr-FR"/>
        </w:rPr>
        <w:t xml:space="preserve"> certain </w:t>
      </w:r>
      <w:r>
        <w:rPr>
          <w:lang w:val="fr-FR"/>
        </w:rPr>
        <w:t xml:space="preserve">délai </w:t>
      </w:r>
      <w:r w:rsidRPr="00295065">
        <w:rPr>
          <w:lang w:val="fr-FR"/>
        </w:rPr>
        <w:t xml:space="preserve">s’écoule </w:t>
      </w:r>
      <w:r w:rsidRPr="00146A05">
        <w:rPr>
          <w:lang w:val="fr-FR"/>
        </w:rPr>
        <w:t xml:space="preserve">avant </w:t>
      </w:r>
      <w:r w:rsidR="00A315AC" w:rsidRPr="00146A05">
        <w:rPr>
          <w:lang w:val="fr-FR"/>
        </w:rPr>
        <w:t>la publication</w:t>
      </w:r>
      <w:r w:rsidRPr="00146A05">
        <w:rPr>
          <w:lang w:val="fr-FR"/>
        </w:rPr>
        <w:t xml:space="preserve"> d’un dessin ou modèle industriel </w:t>
      </w:r>
      <w:r w:rsidRPr="00295065">
        <w:rPr>
          <w:lang w:val="fr-FR"/>
        </w:rPr>
        <w:t>en</w:t>
      </w:r>
      <w:r>
        <w:rPr>
          <w:lang w:val="fr-FR"/>
        </w:rPr>
        <w:t xml:space="preserve"> raison de l’examen </w:t>
      </w:r>
      <w:r w:rsidR="00E72D54" w:rsidRPr="00B85FAB">
        <w:rPr>
          <w:lang w:val="fr-FR"/>
        </w:rPr>
        <w:t>(</w:t>
      </w:r>
      <w:r w:rsidRPr="000A42DD">
        <w:rPr>
          <w:lang w:val="fr-FR"/>
        </w:rPr>
        <w:t>qu’il porte sur la forme ou sur le fond</w:t>
      </w:r>
      <w:r w:rsidR="00E72D54" w:rsidRPr="00B85FAB">
        <w:rPr>
          <w:lang w:val="fr-FR"/>
        </w:rPr>
        <w:t xml:space="preserve">) </w:t>
      </w:r>
      <w:r w:rsidR="007B05C7" w:rsidRPr="00146A05">
        <w:rPr>
          <w:lang w:val="fr-CH"/>
        </w:rPr>
        <w:t xml:space="preserve">et </w:t>
      </w:r>
      <w:r>
        <w:rPr>
          <w:lang w:val="fr-FR"/>
        </w:rPr>
        <w:t>des préparatifs techniques en vue de la</w:t>
      </w:r>
      <w:r w:rsidR="00E72D54" w:rsidRPr="00B85FAB">
        <w:rPr>
          <w:lang w:val="fr-FR"/>
        </w:rPr>
        <w:t xml:space="preserve"> publication</w:t>
      </w:r>
      <w:r w:rsidR="00E72D54" w:rsidRPr="00B85FAB">
        <w:rPr>
          <w:vertAlign w:val="superscript"/>
          <w:lang w:val="fr-FR"/>
        </w:rPr>
        <w:footnoteReference w:id="6"/>
      </w:r>
      <w:r w:rsidR="00E72D54" w:rsidRPr="00B85FAB">
        <w:rPr>
          <w:lang w:val="fr-FR"/>
        </w:rPr>
        <w:t xml:space="preserve">.  </w:t>
      </w:r>
      <w:r w:rsidRPr="000A42DD">
        <w:rPr>
          <w:lang w:val="fr-FR"/>
        </w:rPr>
        <w:t>Le délai de six</w:t>
      </w:r>
      <w:r>
        <w:rPr>
          <w:lang w:val="fr-FR"/>
        </w:rPr>
        <w:t> </w:t>
      </w:r>
      <w:r w:rsidRPr="000A42DD">
        <w:rPr>
          <w:lang w:val="fr-FR"/>
        </w:rPr>
        <w:t>mois a</w:t>
      </w:r>
      <w:r>
        <w:rPr>
          <w:lang w:val="fr-FR"/>
        </w:rPr>
        <w:t>vait</w:t>
      </w:r>
      <w:r w:rsidRPr="000A42DD">
        <w:rPr>
          <w:lang w:val="fr-FR"/>
        </w:rPr>
        <w:t xml:space="preserve"> été retenu dans l’intention de </w:t>
      </w:r>
      <w:r w:rsidRPr="000A42DD">
        <w:rPr>
          <w:u w:val="single"/>
          <w:lang w:val="fr-FR"/>
        </w:rPr>
        <w:t>conférer au titulaire d’un enregistrement international le bénéfice de l’ajournement de fait dont il aurait bénéficié s’il avait déposé des demandes nationales d’enregistrement</w:t>
      </w:r>
      <w:r w:rsidR="00E72D54" w:rsidRPr="00B85FAB">
        <w:rPr>
          <w:vertAlign w:val="superscript"/>
          <w:lang w:val="fr-FR"/>
        </w:rPr>
        <w:footnoteReference w:id="7"/>
      </w:r>
      <w:r w:rsidR="00E72D54" w:rsidRPr="00B85FAB">
        <w:rPr>
          <w:lang w:val="fr-FR"/>
        </w:rPr>
        <w:t>.</w:t>
      </w:r>
      <w:r w:rsidR="006C0C91">
        <w:rPr>
          <w:lang w:val="fr-FR"/>
        </w:rPr>
        <w:t xml:space="preserve">  </w:t>
      </w:r>
    </w:p>
    <w:p w14:paraId="46550130" w14:textId="1E715CF6" w:rsidR="00210C47" w:rsidRDefault="000A42DD" w:rsidP="00210C47">
      <w:pPr>
        <w:pStyle w:val="BodyText"/>
        <w:rPr>
          <w:lang w:val="fr-FR"/>
        </w:rPr>
      </w:pPr>
      <w:r w:rsidRPr="005C03DC">
        <w:rPr>
          <w:lang w:val="fr-FR"/>
        </w:rPr>
        <w:t xml:space="preserve">Toutefois, tandis que l’Acte de 1999 compte de plus en plus de membres et une plus grande diversité de systèmes nationaux et régionaux, </w:t>
      </w:r>
      <w:r w:rsidR="007B05C7" w:rsidRPr="00146A05">
        <w:rPr>
          <w:lang w:val="fr-CH"/>
        </w:rPr>
        <w:t>l’</w:t>
      </w:r>
      <w:r w:rsidRPr="005C03DC">
        <w:rPr>
          <w:lang w:val="fr-FR"/>
        </w:rPr>
        <w:t>objectif fondamental du régime de publication standard</w:t>
      </w:r>
      <w:r w:rsidR="007B05C7" w:rsidRPr="00146A05">
        <w:rPr>
          <w:lang w:val="fr-CH"/>
        </w:rPr>
        <w:t xml:space="preserve"> s’est obscurci</w:t>
      </w:r>
      <w:r w:rsidRPr="005C03DC">
        <w:rPr>
          <w:lang w:val="fr-FR"/>
        </w:rPr>
        <w:t xml:space="preserve">.  </w:t>
      </w:r>
      <w:r w:rsidR="005C03DC" w:rsidRPr="005C03DC">
        <w:rPr>
          <w:lang w:val="fr-FR"/>
        </w:rPr>
        <w:t xml:space="preserve">De fait, les offices de certaines parties contractantes ayant fait une déclaration selon laquelle leur législation </w:t>
      </w:r>
      <w:proofErr w:type="gramStart"/>
      <w:r w:rsidR="005C03DC" w:rsidRPr="005C03DC">
        <w:rPr>
          <w:lang w:val="fr-FR"/>
        </w:rPr>
        <w:t>n’autorise</w:t>
      </w:r>
      <w:proofErr w:type="gramEnd"/>
      <w:r w:rsidR="005C03DC" w:rsidRPr="005C03DC">
        <w:rPr>
          <w:lang w:val="fr-FR"/>
        </w:rPr>
        <w:t xml:space="preserve"> pas l’ajournement de la publication procèdent à l’examen de </w:t>
      </w:r>
      <w:r w:rsidR="00E72D54" w:rsidRPr="005C03DC">
        <w:rPr>
          <w:lang w:val="fr-FR"/>
        </w:rPr>
        <w:t>no</w:t>
      </w:r>
      <w:r w:rsidR="005C03DC" w:rsidRPr="005C03DC">
        <w:rPr>
          <w:lang w:val="fr-FR"/>
        </w:rPr>
        <w:t>u</w:t>
      </w:r>
      <w:r w:rsidR="00E72D54" w:rsidRPr="005C03DC">
        <w:rPr>
          <w:lang w:val="fr-FR"/>
        </w:rPr>
        <w:t>v</w:t>
      </w:r>
      <w:r w:rsidR="005C03DC">
        <w:rPr>
          <w:lang w:val="fr-FR"/>
        </w:rPr>
        <w:t>e</w:t>
      </w:r>
      <w:r w:rsidR="005C03DC" w:rsidRPr="005C03DC">
        <w:rPr>
          <w:lang w:val="fr-FR"/>
        </w:rPr>
        <w:t>auté</w:t>
      </w:r>
      <w:r w:rsidR="00E72D54" w:rsidRPr="005C03DC">
        <w:rPr>
          <w:lang w:val="fr-FR"/>
        </w:rPr>
        <w:t xml:space="preserve">, </w:t>
      </w:r>
      <w:r w:rsidR="005C03DC" w:rsidRPr="005C03DC">
        <w:rPr>
          <w:lang w:val="fr-FR"/>
        </w:rPr>
        <w:t>entre autres exigences</w:t>
      </w:r>
      <w:r w:rsidR="00E72D54" w:rsidRPr="005C03DC">
        <w:rPr>
          <w:lang w:val="fr-FR"/>
        </w:rPr>
        <w:t xml:space="preserve">.  </w:t>
      </w:r>
      <w:r w:rsidR="005C03DC">
        <w:rPr>
          <w:lang w:val="fr-FR"/>
        </w:rPr>
        <w:t xml:space="preserve">Comme dans les systèmes nationaux en question, les </w:t>
      </w:r>
      <w:r w:rsidR="005C03DC" w:rsidRPr="005C03DC">
        <w:rPr>
          <w:lang w:val="fr-FR"/>
        </w:rPr>
        <w:t>dessins et modèles ne sont publiés qu’après la délivrance d’un brevet de dessin ou modèle</w:t>
      </w:r>
      <w:r w:rsidR="005C03DC">
        <w:rPr>
          <w:lang w:val="fr-FR"/>
        </w:rPr>
        <w:t xml:space="preserve"> ou l’enregistrement</w:t>
      </w:r>
      <w:r w:rsidR="00E72D54" w:rsidRPr="005C03DC">
        <w:rPr>
          <w:lang w:val="fr-FR"/>
        </w:rPr>
        <w:t xml:space="preserve">, </w:t>
      </w:r>
      <w:r w:rsidR="005C03DC">
        <w:rPr>
          <w:lang w:val="fr-FR"/>
        </w:rPr>
        <w:t>la</w:t>
      </w:r>
      <w:r w:rsidR="00E72D54" w:rsidRPr="005C03DC">
        <w:rPr>
          <w:lang w:val="fr-FR"/>
        </w:rPr>
        <w:t xml:space="preserve"> publication </w:t>
      </w:r>
      <w:r w:rsidR="006515B5">
        <w:rPr>
          <w:lang w:val="fr-FR"/>
        </w:rPr>
        <w:t xml:space="preserve">des brevets de dessins ou </w:t>
      </w:r>
      <w:r w:rsidR="006515B5">
        <w:rPr>
          <w:lang w:val="fr-FR"/>
        </w:rPr>
        <w:lastRenderedPageBreak/>
        <w:t>modèles ou des enregistrements a souvent lieu bien plus tard que six mois après la date de dépôt et, plus généralement, au moins 12 mois après</w:t>
      </w:r>
      <w:r w:rsidR="00E72D54" w:rsidRPr="00B85FAB">
        <w:rPr>
          <w:lang w:val="fr-FR"/>
        </w:rPr>
        <w:t>.</w:t>
      </w:r>
    </w:p>
    <w:p w14:paraId="461B6E1F" w14:textId="2F92068F" w:rsidR="00E72D54" w:rsidRPr="00B85FAB" w:rsidRDefault="00E72D54" w:rsidP="00E72D54">
      <w:pPr>
        <w:pStyle w:val="Heading1"/>
        <w:rPr>
          <w:lang w:val="fr-FR"/>
        </w:rPr>
      </w:pPr>
      <w:r w:rsidRPr="00B85FAB">
        <w:rPr>
          <w:lang w:val="fr-FR"/>
        </w:rPr>
        <w:t>Propos</w:t>
      </w:r>
      <w:r w:rsidR="006515B5">
        <w:rPr>
          <w:lang w:val="fr-FR"/>
        </w:rPr>
        <w:t>ition de prolongation du d</w:t>
      </w:r>
      <w:r w:rsidR="008360B4" w:rsidRPr="00860DEE">
        <w:rPr>
          <w:rFonts w:eastAsia="Times New Roman"/>
          <w:sz w:val="24"/>
          <w:szCs w:val="24"/>
          <w:lang w:val="fr-FR"/>
        </w:rPr>
        <w:t>É</w:t>
      </w:r>
      <w:r w:rsidR="006515B5">
        <w:rPr>
          <w:lang w:val="fr-FR"/>
        </w:rPr>
        <w:t xml:space="preserve">lai de publication </w:t>
      </w:r>
      <w:r w:rsidRPr="00B85FAB">
        <w:rPr>
          <w:lang w:val="fr-FR"/>
        </w:rPr>
        <w:t>standard</w:t>
      </w:r>
    </w:p>
    <w:p w14:paraId="255C7361" w14:textId="77777777" w:rsidR="00E72D54" w:rsidRPr="00B85FAB" w:rsidRDefault="00E72D54" w:rsidP="00E72D54">
      <w:pPr>
        <w:rPr>
          <w:lang w:val="fr-FR"/>
        </w:rPr>
      </w:pPr>
    </w:p>
    <w:p w14:paraId="66C31B17" w14:textId="128C3427" w:rsidR="00E72D54" w:rsidRDefault="006515B5" w:rsidP="00E72D54">
      <w:pPr>
        <w:pStyle w:val="BodyText"/>
        <w:rPr>
          <w:lang w:val="fr-FR"/>
        </w:rPr>
      </w:pPr>
      <w:r>
        <w:rPr>
          <w:lang w:val="fr-FR"/>
        </w:rPr>
        <w:t>La proposition tendant à porter à 12 mois l</w:t>
      </w:r>
      <w:r w:rsidR="007B3640" w:rsidRPr="00146A05">
        <w:rPr>
          <w:rFonts w:ascii="Times New Roman" w:hAnsi="Times New Roman"/>
          <w:lang w:val="fr-CH"/>
        </w:rPr>
        <w:t>’</w:t>
      </w:r>
      <w:r w:rsidR="007B3640">
        <w:rPr>
          <w:lang w:val="fr-FR"/>
        </w:rPr>
        <w:t xml:space="preserve">actuel </w:t>
      </w:r>
      <w:r>
        <w:rPr>
          <w:lang w:val="fr-FR"/>
        </w:rPr>
        <w:t>délai</w:t>
      </w:r>
      <w:r w:rsidR="007B3640" w:rsidRPr="00146A05">
        <w:rPr>
          <w:rFonts w:ascii="Times New Roman" w:hAnsi="Times New Roman"/>
          <w:lang w:val="fr-CH"/>
        </w:rPr>
        <w:t xml:space="preserve"> </w:t>
      </w:r>
      <w:r w:rsidR="007B3640" w:rsidRPr="00146A05">
        <w:rPr>
          <w:lang w:val="fr-CH"/>
        </w:rPr>
        <w:t>standard</w:t>
      </w:r>
      <w:r w:rsidRPr="007B3640">
        <w:rPr>
          <w:lang w:val="fr-FR"/>
        </w:rPr>
        <w:t xml:space="preserve"> </w:t>
      </w:r>
      <w:r>
        <w:rPr>
          <w:lang w:val="fr-FR"/>
        </w:rPr>
        <w:t xml:space="preserve">de publication vise à garantir </w:t>
      </w:r>
      <w:r w:rsidR="0065781E">
        <w:rPr>
          <w:lang w:val="fr-FR"/>
        </w:rPr>
        <w:t>que</w:t>
      </w:r>
      <w:r w:rsidR="00E72D54" w:rsidRPr="00B85FAB">
        <w:rPr>
          <w:lang w:val="fr-FR"/>
        </w:rPr>
        <w:t xml:space="preserve"> </w:t>
      </w:r>
      <w:r w:rsidR="0065781E" w:rsidRPr="0065781E">
        <w:rPr>
          <w:lang w:val="fr-FR"/>
        </w:rPr>
        <w:t>l</w:t>
      </w:r>
      <w:r w:rsidR="00EE3F23">
        <w:rPr>
          <w:lang w:val="fr-FR"/>
        </w:rPr>
        <w:t>’</w:t>
      </w:r>
      <w:r w:rsidR="0065781E" w:rsidRPr="0065781E">
        <w:rPr>
          <w:lang w:val="fr-FR"/>
        </w:rPr>
        <w:t xml:space="preserve">objectif fondamental du régime de publication standard est atteint en rapprochant </w:t>
      </w:r>
      <w:r w:rsidR="0065781E">
        <w:rPr>
          <w:lang w:val="fr-FR"/>
        </w:rPr>
        <w:t>le délai</w:t>
      </w:r>
      <w:r w:rsidR="0065781E" w:rsidRPr="0065781E">
        <w:rPr>
          <w:lang w:val="fr-FR"/>
        </w:rPr>
        <w:t xml:space="preserve"> de publication standard </w:t>
      </w:r>
      <w:r w:rsidR="0065781E">
        <w:rPr>
          <w:lang w:val="fr-FR"/>
        </w:rPr>
        <w:t>du délai</w:t>
      </w:r>
      <w:r w:rsidR="0065781E" w:rsidRPr="0065781E">
        <w:rPr>
          <w:lang w:val="fr-FR"/>
        </w:rPr>
        <w:t xml:space="preserve"> d</w:t>
      </w:r>
      <w:r w:rsidR="00EE3F23">
        <w:rPr>
          <w:lang w:val="fr-FR"/>
        </w:rPr>
        <w:t>’</w:t>
      </w:r>
      <w:r w:rsidR="0065781E" w:rsidRPr="0065781E">
        <w:rPr>
          <w:lang w:val="fr-FR"/>
        </w:rPr>
        <w:t>ajournement de fa</w:t>
      </w:r>
      <w:r w:rsidR="0065781E">
        <w:rPr>
          <w:lang w:val="fr-FR"/>
        </w:rPr>
        <w:t>it</w:t>
      </w:r>
      <w:r w:rsidR="0065781E" w:rsidRPr="0065781E">
        <w:rPr>
          <w:lang w:val="fr-FR"/>
        </w:rPr>
        <w:t xml:space="preserve"> dont bénéficient les utilisateurs dans les systèmes nationaux de nombreuses parties contractantes</w:t>
      </w:r>
      <w:r w:rsidR="00E72D54" w:rsidRPr="00B85FAB">
        <w:rPr>
          <w:lang w:val="fr-FR"/>
        </w:rPr>
        <w:t>.</w:t>
      </w:r>
    </w:p>
    <w:p w14:paraId="65F32CCD" w14:textId="77777777" w:rsidR="00E72D54" w:rsidRPr="00B85FAB" w:rsidRDefault="0065781E" w:rsidP="00E72D54">
      <w:pPr>
        <w:pStyle w:val="BodyText"/>
        <w:rPr>
          <w:lang w:val="fr-FR"/>
        </w:rPr>
      </w:pPr>
      <w:r>
        <w:rPr>
          <w:lang w:val="fr-FR"/>
        </w:rPr>
        <w:t xml:space="preserve">Pour de plus amples renseignements sur le contexte et la proposition, se reporter au </w:t>
      </w:r>
      <w:r w:rsidR="00E72D54" w:rsidRPr="00B85FAB">
        <w:rPr>
          <w:lang w:val="fr-FR"/>
        </w:rPr>
        <w:t>document</w:t>
      </w:r>
      <w:r>
        <w:rPr>
          <w:lang w:val="fr-FR"/>
        </w:rPr>
        <w:t> </w:t>
      </w:r>
      <w:r w:rsidR="00E72D54" w:rsidRPr="00B85FAB">
        <w:rPr>
          <w:lang w:val="fr-FR"/>
        </w:rPr>
        <w:t xml:space="preserve">H/LD/WG/8/6, </w:t>
      </w:r>
      <w:r>
        <w:rPr>
          <w:lang w:val="fr-FR"/>
        </w:rPr>
        <w:t xml:space="preserve">disponible à l’adresse </w:t>
      </w:r>
      <w:bookmarkStart w:id="2" w:name="_GoBack"/>
      <w:r>
        <w:rPr>
          <w:lang w:val="fr-FR"/>
        </w:rPr>
        <w:t>h</w:t>
      </w:r>
      <w:r w:rsidR="00E72D54" w:rsidRPr="00B85FAB">
        <w:rPr>
          <w:lang w:val="fr-FR"/>
        </w:rPr>
        <w:t>ttps://www.wipo.int/meetings/</w:t>
      </w:r>
      <w:r>
        <w:rPr>
          <w:lang w:val="fr-FR"/>
        </w:rPr>
        <w:t>fr</w:t>
      </w:r>
      <w:r w:rsidR="00E72D54" w:rsidRPr="00B85FAB">
        <w:rPr>
          <w:lang w:val="fr-FR"/>
        </w:rPr>
        <w:t>/doc_details.jsp?doc_id=452295</w:t>
      </w:r>
      <w:bookmarkEnd w:id="2"/>
      <w:r w:rsidR="00E72D54" w:rsidRPr="00B85FAB">
        <w:rPr>
          <w:lang w:val="fr-FR"/>
        </w:rPr>
        <w:t>.</w:t>
      </w:r>
    </w:p>
    <w:p w14:paraId="3D0AA072" w14:textId="77777777" w:rsidR="00E72D54" w:rsidRPr="00B85FAB" w:rsidRDefault="00E72D54" w:rsidP="00E72D54">
      <w:pPr>
        <w:pStyle w:val="Heading1"/>
        <w:spacing w:before="480"/>
        <w:rPr>
          <w:lang w:val="fr-FR"/>
        </w:rPr>
      </w:pPr>
      <w:r w:rsidRPr="00B85FAB">
        <w:rPr>
          <w:lang w:val="fr-FR"/>
        </w:rPr>
        <w:br w:type="page"/>
        <w:t>Instructions</w:t>
      </w:r>
    </w:p>
    <w:p w14:paraId="5BBA0570" w14:textId="77777777" w:rsidR="00E72D54" w:rsidRPr="00B85FAB" w:rsidRDefault="00E72D54" w:rsidP="00E72D54">
      <w:pPr>
        <w:tabs>
          <w:tab w:val="left" w:pos="567"/>
        </w:tabs>
        <w:spacing w:line="260" w:lineRule="exact"/>
        <w:rPr>
          <w:snapToGrid w:val="0"/>
          <w:color w:val="000000"/>
          <w:lang w:val="fr-FR"/>
        </w:rPr>
      </w:pPr>
    </w:p>
    <w:p w14:paraId="0A6F733B" w14:textId="77777777" w:rsidR="0093045D" w:rsidRDefault="0093045D" w:rsidP="00E72D54">
      <w:pPr>
        <w:pStyle w:val="BodyText"/>
        <w:rPr>
          <w:snapToGrid w:val="0"/>
          <w:lang w:val="fr-FR"/>
        </w:rPr>
      </w:pPr>
      <w:r w:rsidRPr="0093045D">
        <w:rPr>
          <w:snapToGrid w:val="0"/>
          <w:lang w:val="fr-FR"/>
        </w:rPr>
        <w:t xml:space="preserve">Veuillez remplir le questionnaire en cochant la ou les cases </w:t>
      </w:r>
      <w:proofErr w:type="gramStart"/>
      <w:r w:rsidRPr="0093045D">
        <w:rPr>
          <w:snapToGrid w:val="0"/>
          <w:lang w:val="fr-FR"/>
        </w:rPr>
        <w:t>appropriées;</w:t>
      </w:r>
      <w:r>
        <w:rPr>
          <w:snapToGrid w:val="0"/>
          <w:lang w:val="fr-FR"/>
        </w:rPr>
        <w:t xml:space="preserve"> </w:t>
      </w:r>
      <w:r w:rsidRPr="0093045D">
        <w:rPr>
          <w:snapToGrid w:val="0"/>
          <w:lang w:val="fr-FR"/>
        </w:rPr>
        <w:t xml:space="preserve"> veuillez</w:t>
      </w:r>
      <w:proofErr w:type="gramEnd"/>
      <w:r w:rsidRPr="0093045D">
        <w:rPr>
          <w:snapToGrid w:val="0"/>
          <w:lang w:val="fr-FR"/>
        </w:rPr>
        <w:t xml:space="preserve"> préciser vos réponses.  Si vous avez besoin d</w:t>
      </w:r>
      <w:r w:rsidR="00EE3F23">
        <w:rPr>
          <w:snapToGrid w:val="0"/>
          <w:lang w:val="fr-FR"/>
        </w:rPr>
        <w:t>’</w:t>
      </w:r>
      <w:r w:rsidRPr="0093045D">
        <w:rPr>
          <w:snapToGrid w:val="0"/>
          <w:lang w:val="fr-FR"/>
        </w:rPr>
        <w:t>espace supplémentaire, veuillez joindre des pages supplémentaires au présent questionnaire en indiquant clairement la question concernée</w:t>
      </w:r>
      <w:r>
        <w:rPr>
          <w:snapToGrid w:val="0"/>
          <w:lang w:val="fr-FR"/>
        </w:rPr>
        <w:t xml:space="preserve">.  </w:t>
      </w:r>
    </w:p>
    <w:p w14:paraId="70A4543B" w14:textId="77777777" w:rsidR="00E72D54" w:rsidRPr="00B85FAB" w:rsidRDefault="0093045D" w:rsidP="00E72D54">
      <w:pPr>
        <w:pStyle w:val="BodyText"/>
        <w:rPr>
          <w:snapToGrid w:val="0"/>
          <w:lang w:val="fr-FR"/>
        </w:rPr>
      </w:pPr>
      <w:r>
        <w:rPr>
          <w:snapToGrid w:val="0"/>
          <w:lang w:val="fr-FR"/>
        </w:rPr>
        <w:t>Le q</w:t>
      </w:r>
      <w:r w:rsidR="00E72D54" w:rsidRPr="00B85FAB">
        <w:rPr>
          <w:snapToGrid w:val="0"/>
          <w:lang w:val="fr-FR"/>
        </w:rPr>
        <w:t xml:space="preserve">uestionnaire </w:t>
      </w:r>
      <w:r>
        <w:rPr>
          <w:snapToGrid w:val="0"/>
          <w:lang w:val="fr-FR"/>
        </w:rPr>
        <w:t xml:space="preserve">rempli doit être envoyé au Bureau international de l’OMPI par courrier électronique à l’adresse </w:t>
      </w:r>
      <w:r w:rsidR="00E72D54" w:rsidRPr="00B85FAB">
        <w:rPr>
          <w:snapToGrid w:val="0"/>
          <w:lang w:val="fr-FR"/>
        </w:rPr>
        <w:t xml:space="preserve">hague.registry@wipo.int.  </w:t>
      </w:r>
    </w:p>
    <w:p w14:paraId="6B40454E" w14:textId="77777777" w:rsidR="00E72D54" w:rsidRPr="00B85FAB" w:rsidRDefault="00E72D54" w:rsidP="00E72D54">
      <w:pPr>
        <w:tabs>
          <w:tab w:val="left" w:pos="851"/>
        </w:tabs>
        <w:spacing w:line="260" w:lineRule="exact"/>
        <w:jc w:val="both"/>
        <w:rPr>
          <w:snapToGrid w:val="0"/>
          <w:color w:val="000000"/>
          <w:lang w:val="fr-FR" w:eastAsia="ja-JP"/>
        </w:rPr>
      </w:pPr>
    </w:p>
    <w:p w14:paraId="1BAFB481" w14:textId="77777777" w:rsidR="00E72D54" w:rsidRPr="00B85FAB" w:rsidRDefault="00E72D54" w:rsidP="00E72D54">
      <w:pPr>
        <w:pStyle w:val="Heading1"/>
        <w:rPr>
          <w:snapToGrid w:val="0"/>
          <w:lang w:val="fr-FR"/>
        </w:rPr>
      </w:pPr>
      <w:r w:rsidRPr="00B85FAB">
        <w:rPr>
          <w:snapToGrid w:val="0"/>
          <w:lang w:val="fr-FR"/>
        </w:rPr>
        <w:t>questionnaire</w:t>
      </w:r>
    </w:p>
    <w:p w14:paraId="3EAC7362" w14:textId="77777777" w:rsidR="00E72D54" w:rsidRPr="00B85FAB" w:rsidRDefault="00E72D54" w:rsidP="00E72D54">
      <w:pPr>
        <w:rPr>
          <w:lang w:val="fr-FR"/>
        </w:rPr>
      </w:pPr>
    </w:p>
    <w:p w14:paraId="78D34B1E" w14:textId="77777777" w:rsidR="00E72D54" w:rsidRPr="00B85FAB" w:rsidRDefault="00E72D54" w:rsidP="00E72D54">
      <w:pPr>
        <w:rPr>
          <w:lang w:val="fr-FR"/>
        </w:rPr>
      </w:pPr>
    </w:p>
    <w:p w14:paraId="5CF5B9E7" w14:textId="77777777" w:rsidR="00E72D54" w:rsidRPr="00B85FAB" w:rsidRDefault="00E72D54" w:rsidP="006D5B38">
      <w:pPr>
        <w:tabs>
          <w:tab w:val="left" w:leader="dot" w:pos="9072"/>
        </w:tabs>
        <w:spacing w:after="120"/>
        <w:ind w:left="567" w:hanging="567"/>
        <w:rPr>
          <w:snapToGrid w:val="0"/>
          <w:lang w:val="fr-FR"/>
        </w:rPr>
      </w:pPr>
      <w:r w:rsidRPr="00B85FAB">
        <w:rPr>
          <w:snapToGrid w:val="0"/>
          <w:lang w:val="fr-FR"/>
        </w:rPr>
        <w:t>N</w:t>
      </w:r>
      <w:r w:rsidR="0093045D">
        <w:rPr>
          <w:snapToGrid w:val="0"/>
          <w:lang w:val="fr-FR"/>
        </w:rPr>
        <w:t>o</w:t>
      </w:r>
      <w:r w:rsidRPr="00B85FAB">
        <w:rPr>
          <w:snapToGrid w:val="0"/>
          <w:lang w:val="fr-FR"/>
        </w:rPr>
        <w:t>m</w:t>
      </w:r>
      <w:r w:rsidR="0093045D">
        <w:rPr>
          <w:snapToGrid w:val="0"/>
          <w:lang w:val="fr-FR"/>
        </w:rPr>
        <w:t> </w:t>
      </w:r>
      <w:r w:rsidRPr="00B85FAB">
        <w:rPr>
          <w:snapToGrid w:val="0"/>
          <w:lang w:val="fr-FR"/>
        </w:rPr>
        <w:t>:</w:t>
      </w:r>
      <w:r w:rsidR="006D5B38" w:rsidRPr="00B85FAB">
        <w:rPr>
          <w:snapToGrid w:val="0"/>
          <w:lang w:val="fr-FR"/>
        </w:rPr>
        <w:t xml:space="preserve">  </w:t>
      </w:r>
      <w:r w:rsidR="006D5B38" w:rsidRPr="00B85FAB">
        <w:rPr>
          <w:snapToGrid w:val="0"/>
          <w:lang w:val="fr-FR"/>
        </w:rPr>
        <w:tab/>
      </w:r>
    </w:p>
    <w:p w14:paraId="59E9C46F" w14:textId="77777777" w:rsidR="00E72D54" w:rsidRPr="00B85FAB" w:rsidRDefault="0093045D" w:rsidP="006D5B38">
      <w:pPr>
        <w:tabs>
          <w:tab w:val="left" w:leader="dot" w:pos="9072"/>
        </w:tabs>
        <w:spacing w:after="120"/>
        <w:ind w:left="567" w:hanging="567"/>
        <w:rPr>
          <w:snapToGrid w:val="0"/>
          <w:lang w:val="fr-FR"/>
        </w:rPr>
      </w:pPr>
      <w:r>
        <w:rPr>
          <w:snapToGrid w:val="0"/>
          <w:lang w:val="fr-FR"/>
        </w:rPr>
        <w:t>Fonctions </w:t>
      </w:r>
      <w:r w:rsidR="00E72D54" w:rsidRPr="00B85FAB">
        <w:rPr>
          <w:snapToGrid w:val="0"/>
          <w:lang w:val="fr-FR"/>
        </w:rPr>
        <w:t>:</w:t>
      </w:r>
      <w:r w:rsidR="006D5B38" w:rsidRPr="00B85FAB">
        <w:rPr>
          <w:snapToGrid w:val="0"/>
          <w:lang w:val="fr-FR"/>
        </w:rPr>
        <w:t xml:space="preserve">  </w:t>
      </w:r>
      <w:r w:rsidR="006D5B38" w:rsidRPr="00B85FAB">
        <w:rPr>
          <w:snapToGrid w:val="0"/>
          <w:lang w:val="fr-FR"/>
        </w:rPr>
        <w:tab/>
      </w:r>
    </w:p>
    <w:p w14:paraId="7821B747" w14:textId="77777777" w:rsidR="00E72D54" w:rsidRPr="00B85FAB" w:rsidRDefault="0093045D" w:rsidP="006D5B38">
      <w:pPr>
        <w:tabs>
          <w:tab w:val="left" w:leader="dot" w:pos="9072"/>
        </w:tabs>
        <w:spacing w:after="120"/>
        <w:ind w:left="567" w:hanging="567"/>
        <w:rPr>
          <w:snapToGrid w:val="0"/>
          <w:lang w:val="fr-FR"/>
        </w:rPr>
      </w:pPr>
      <w:r>
        <w:rPr>
          <w:snapToGrid w:val="0"/>
          <w:lang w:val="fr-FR"/>
        </w:rPr>
        <w:t>Adresse électronique </w:t>
      </w:r>
      <w:r w:rsidR="00E72D54" w:rsidRPr="00B85FAB">
        <w:rPr>
          <w:snapToGrid w:val="0"/>
          <w:lang w:val="fr-FR"/>
        </w:rPr>
        <w:t>:</w:t>
      </w:r>
      <w:r w:rsidR="006D5B38" w:rsidRPr="00B85FAB">
        <w:rPr>
          <w:snapToGrid w:val="0"/>
          <w:lang w:val="fr-FR"/>
        </w:rPr>
        <w:t xml:space="preserve">  </w:t>
      </w:r>
      <w:r w:rsidR="006D5B38" w:rsidRPr="00B85FAB">
        <w:rPr>
          <w:snapToGrid w:val="0"/>
          <w:lang w:val="fr-FR"/>
        </w:rPr>
        <w:tab/>
      </w:r>
    </w:p>
    <w:p w14:paraId="408120A5" w14:textId="77777777" w:rsidR="00E72D54" w:rsidRPr="00B85FAB" w:rsidRDefault="0093045D" w:rsidP="006D5B38">
      <w:pPr>
        <w:tabs>
          <w:tab w:val="left" w:leader="dot" w:pos="9072"/>
        </w:tabs>
        <w:spacing w:after="120"/>
        <w:ind w:left="567" w:hanging="567"/>
        <w:rPr>
          <w:snapToGrid w:val="0"/>
          <w:lang w:val="fr-FR"/>
        </w:rPr>
      </w:pPr>
      <w:r>
        <w:rPr>
          <w:snapToGrid w:val="0"/>
          <w:lang w:val="fr-FR"/>
        </w:rPr>
        <w:t>Au nom de</w:t>
      </w:r>
      <w:r w:rsidR="00E72D54" w:rsidRPr="00B85FAB">
        <w:rPr>
          <w:snapToGrid w:val="0"/>
          <w:lang w:val="fr-FR"/>
        </w:rPr>
        <w:t xml:space="preserve"> </w:t>
      </w:r>
      <w:r w:rsidR="00E72D54" w:rsidRPr="00B85FAB">
        <w:rPr>
          <w:i/>
          <w:snapToGrid w:val="0"/>
          <w:lang w:val="fr-FR"/>
        </w:rPr>
        <w:t>[Organi</w:t>
      </w:r>
      <w:r>
        <w:rPr>
          <w:i/>
          <w:snapToGrid w:val="0"/>
          <w:lang w:val="fr-FR"/>
        </w:rPr>
        <w:t>s</w:t>
      </w:r>
      <w:r w:rsidR="00E72D54" w:rsidRPr="00B85FAB">
        <w:rPr>
          <w:i/>
          <w:snapToGrid w:val="0"/>
          <w:lang w:val="fr-FR"/>
        </w:rPr>
        <w:t>ation]</w:t>
      </w:r>
      <w:r>
        <w:rPr>
          <w:i/>
          <w:snapToGrid w:val="0"/>
          <w:lang w:val="fr-FR"/>
        </w:rPr>
        <w:t> </w:t>
      </w:r>
      <w:r w:rsidR="00E72D54" w:rsidRPr="00B85FAB">
        <w:rPr>
          <w:snapToGrid w:val="0"/>
          <w:lang w:val="fr-FR"/>
        </w:rPr>
        <w:t>:</w:t>
      </w:r>
      <w:r w:rsidR="006D5B38" w:rsidRPr="00B85FAB">
        <w:rPr>
          <w:snapToGrid w:val="0"/>
          <w:lang w:val="fr-FR"/>
        </w:rPr>
        <w:t xml:space="preserve">  </w:t>
      </w:r>
      <w:r w:rsidR="006D5B38" w:rsidRPr="00B85FAB">
        <w:rPr>
          <w:snapToGrid w:val="0"/>
          <w:lang w:val="fr-FR"/>
        </w:rPr>
        <w:tab/>
      </w:r>
    </w:p>
    <w:p w14:paraId="34CE2B8A" w14:textId="77777777" w:rsidR="00E72D54" w:rsidRPr="00B85FAB" w:rsidRDefault="002D0FC2" w:rsidP="006D5B38">
      <w:pPr>
        <w:tabs>
          <w:tab w:val="left" w:leader="dot" w:pos="9072"/>
        </w:tabs>
        <w:spacing w:after="120"/>
        <w:ind w:left="567" w:hanging="567"/>
        <w:rPr>
          <w:snapToGrid w:val="0"/>
          <w:lang w:val="fr-FR"/>
        </w:rPr>
      </w:pPr>
      <w:r>
        <w:rPr>
          <w:snapToGrid w:val="0"/>
          <w:lang w:val="fr-FR"/>
        </w:rPr>
        <w:t>Combien de membres votre organisation représente</w:t>
      </w:r>
      <w:r>
        <w:rPr>
          <w:snapToGrid w:val="0"/>
          <w:lang w:val="fr-FR"/>
        </w:rPr>
        <w:noBreakHyphen/>
        <w:t>t</w:t>
      </w:r>
      <w:r>
        <w:rPr>
          <w:snapToGrid w:val="0"/>
          <w:lang w:val="fr-FR"/>
        </w:rPr>
        <w:noBreakHyphen/>
        <w:t>elle</w:t>
      </w:r>
      <w:r w:rsidR="00E72D54" w:rsidRPr="00B85FAB">
        <w:rPr>
          <w:snapToGrid w:val="0"/>
          <w:lang w:val="fr-FR"/>
        </w:rPr>
        <w:t>?</w:t>
      </w:r>
      <w:r w:rsidR="006D5B38" w:rsidRPr="00B85FAB">
        <w:rPr>
          <w:snapToGrid w:val="0"/>
          <w:lang w:val="fr-FR"/>
        </w:rPr>
        <w:t xml:space="preserve">  </w:t>
      </w:r>
      <w:r w:rsidR="006D5B38" w:rsidRPr="00B85FAB">
        <w:rPr>
          <w:snapToGrid w:val="0"/>
          <w:lang w:val="fr-FR"/>
        </w:rPr>
        <w:tab/>
      </w:r>
    </w:p>
    <w:p w14:paraId="64691F8D" w14:textId="77777777" w:rsidR="00E72D54" w:rsidRPr="00B85FAB" w:rsidRDefault="00E72D54" w:rsidP="00E72D54">
      <w:pPr>
        <w:tabs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</w:p>
    <w:p w14:paraId="2FEC5CEF" w14:textId="77777777" w:rsidR="00E72D54" w:rsidRPr="00B85FAB" w:rsidRDefault="000069DB" w:rsidP="000069DB">
      <w:pPr>
        <w:pStyle w:val="ListParagraph"/>
        <w:tabs>
          <w:tab w:val="left" w:pos="567"/>
          <w:tab w:val="left" w:leader="dot" w:pos="9638"/>
        </w:tabs>
        <w:spacing w:after="120" w:line="260" w:lineRule="exact"/>
        <w:ind w:left="0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>1.</w:t>
      </w:r>
      <w:r w:rsidRPr="00B85FAB">
        <w:rPr>
          <w:snapToGrid w:val="0"/>
          <w:color w:val="000000"/>
          <w:lang w:val="fr-FR" w:eastAsia="ja-JP"/>
        </w:rPr>
        <w:tab/>
      </w:r>
      <w:r w:rsidR="002D0FC2">
        <w:rPr>
          <w:snapToGrid w:val="0"/>
          <w:color w:val="000000"/>
          <w:lang w:val="fr-FR" w:eastAsia="ja-JP"/>
        </w:rPr>
        <w:t xml:space="preserve">Votre </w:t>
      </w:r>
      <w:r w:rsidR="00E72D54" w:rsidRPr="00B85FAB">
        <w:rPr>
          <w:snapToGrid w:val="0"/>
          <w:color w:val="000000"/>
          <w:lang w:val="fr-FR" w:eastAsia="ja-JP"/>
        </w:rPr>
        <w:t>organi</w:t>
      </w:r>
      <w:r w:rsidR="002D0FC2">
        <w:rPr>
          <w:snapToGrid w:val="0"/>
          <w:color w:val="000000"/>
          <w:lang w:val="fr-FR" w:eastAsia="ja-JP"/>
        </w:rPr>
        <w:t>s</w:t>
      </w:r>
      <w:r w:rsidR="00E72D54" w:rsidRPr="00B85FAB">
        <w:rPr>
          <w:snapToGrid w:val="0"/>
          <w:color w:val="000000"/>
          <w:lang w:val="fr-FR" w:eastAsia="ja-JP"/>
        </w:rPr>
        <w:t xml:space="preserve">ation </w:t>
      </w:r>
      <w:r w:rsidR="002D0FC2">
        <w:rPr>
          <w:snapToGrid w:val="0"/>
          <w:color w:val="000000"/>
          <w:lang w:val="fr-FR" w:eastAsia="ja-JP"/>
        </w:rPr>
        <w:t>est</w:t>
      </w:r>
      <w:r w:rsidR="002D0FC2">
        <w:rPr>
          <w:snapToGrid w:val="0"/>
          <w:color w:val="000000"/>
          <w:lang w:val="fr-FR" w:eastAsia="ja-JP"/>
        </w:rPr>
        <w:noBreakHyphen/>
        <w:t>elle favorable à la prolongation du délai de publication standard en le portant de six à 12 mois</w:t>
      </w:r>
      <w:r w:rsidR="00E72D54" w:rsidRPr="00B85FAB">
        <w:rPr>
          <w:snapToGrid w:val="0"/>
          <w:color w:val="000000"/>
          <w:lang w:val="fr-FR" w:eastAsia="ja-JP"/>
        </w:rPr>
        <w:t>?</w:t>
      </w:r>
      <w:r w:rsidR="002D0FC2">
        <w:rPr>
          <w:snapToGrid w:val="0"/>
          <w:color w:val="000000"/>
          <w:lang w:val="fr-FR" w:eastAsia="ja-JP"/>
        </w:rPr>
        <w:t xml:space="preserve">  </w:t>
      </w:r>
    </w:p>
    <w:p w14:paraId="19B60834" w14:textId="77777777" w:rsidR="00E72D54" w:rsidRPr="00B85FAB" w:rsidRDefault="002D0FC2" w:rsidP="000069DB">
      <w:pPr>
        <w:tabs>
          <w:tab w:val="left" w:pos="993"/>
          <w:tab w:val="left" w:leader="dot" w:pos="9638"/>
        </w:tabs>
        <w:spacing w:after="120" w:line="260" w:lineRule="exact"/>
        <w:ind w:left="567"/>
        <w:rPr>
          <w:snapToGrid w:val="0"/>
          <w:color w:val="000000"/>
          <w:lang w:val="fr-FR" w:eastAsia="ja-JP"/>
        </w:rPr>
      </w:pPr>
      <w:r>
        <w:rPr>
          <w:snapToGrid w:val="0"/>
          <w:color w:val="000000"/>
          <w:lang w:val="fr-FR" w:eastAsia="ja-JP"/>
        </w:rPr>
        <w:t>Oui</w:t>
      </w:r>
      <w:r w:rsidR="000069DB" w:rsidRPr="00B85FAB">
        <w:rPr>
          <w:snapToGrid w:val="0"/>
          <w:color w:val="000000"/>
          <w:lang w:val="fr-FR" w:eastAsia="ja-JP"/>
        </w:rPr>
        <w:tab/>
      </w:r>
      <w:sdt>
        <w:sdtPr>
          <w:rPr>
            <w:snapToGrid w:val="0"/>
            <w:color w:val="000000"/>
            <w:lang w:val="fr-FR" w:eastAsia="ja-JP"/>
          </w:rPr>
          <w:id w:val="1668519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9DB" w:rsidRPr="00B85FAB">
            <w:rPr>
              <w:rFonts w:ascii="MS Gothic" w:eastAsia="MS Gothic" w:hAnsi="MS Gothic"/>
              <w:snapToGrid w:val="0"/>
              <w:color w:val="000000"/>
              <w:lang w:val="fr-FR" w:eastAsia="ja-JP"/>
            </w:rPr>
            <w:t>☐</w:t>
          </w:r>
        </w:sdtContent>
      </w:sdt>
    </w:p>
    <w:p w14:paraId="77658263" w14:textId="77777777" w:rsidR="00E72D54" w:rsidRPr="00B85FAB" w:rsidRDefault="00E72D54" w:rsidP="000069DB">
      <w:pPr>
        <w:tabs>
          <w:tab w:val="left" w:pos="993"/>
          <w:tab w:val="left" w:leader="dot" w:pos="9638"/>
        </w:tabs>
        <w:spacing w:after="120" w:line="260" w:lineRule="exact"/>
        <w:ind w:left="567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>No</w:t>
      </w:r>
      <w:r w:rsidR="002D0FC2">
        <w:rPr>
          <w:snapToGrid w:val="0"/>
          <w:color w:val="000000"/>
          <w:lang w:val="fr-FR" w:eastAsia="ja-JP"/>
        </w:rPr>
        <w:t>n</w:t>
      </w:r>
      <w:r w:rsidR="000069DB" w:rsidRPr="00B85FAB">
        <w:rPr>
          <w:snapToGrid w:val="0"/>
          <w:color w:val="000000"/>
          <w:lang w:val="fr-FR" w:eastAsia="ja-JP"/>
        </w:rPr>
        <w:tab/>
      </w:r>
      <w:sdt>
        <w:sdtPr>
          <w:rPr>
            <w:snapToGrid w:val="0"/>
            <w:color w:val="000000"/>
            <w:szCs w:val="22"/>
            <w:lang w:val="fr-FR" w:eastAsia="ja-JP"/>
          </w:rPr>
          <w:id w:val="2026901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9DB" w:rsidRPr="00B85FAB">
            <w:rPr>
              <w:rFonts w:ascii="MS Gothic" w:eastAsia="MS Gothic" w:hAnsi="MS Gothic"/>
              <w:snapToGrid w:val="0"/>
              <w:color w:val="000000"/>
              <w:szCs w:val="22"/>
              <w:lang w:val="fr-FR" w:eastAsia="ja-JP"/>
            </w:rPr>
            <w:t>☐</w:t>
          </w:r>
        </w:sdtContent>
      </w:sdt>
    </w:p>
    <w:p w14:paraId="0C480575" w14:textId="77777777" w:rsidR="00E72D54" w:rsidRPr="00B85FAB" w:rsidRDefault="002D0FC2" w:rsidP="000069DB">
      <w:pPr>
        <w:tabs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>
        <w:rPr>
          <w:snapToGrid w:val="0"/>
          <w:color w:val="000000"/>
          <w:lang w:val="fr-FR" w:eastAsia="ja-JP"/>
        </w:rPr>
        <w:t>Motif</w:t>
      </w:r>
      <w:r w:rsidR="00E72D54" w:rsidRPr="00B85FAB">
        <w:rPr>
          <w:snapToGrid w:val="0"/>
          <w:color w:val="000000"/>
          <w:lang w:val="fr-FR" w:eastAsia="ja-JP"/>
        </w:rPr>
        <w:t>s (</w:t>
      </w:r>
      <w:r>
        <w:rPr>
          <w:snapToGrid w:val="0"/>
          <w:color w:val="000000"/>
          <w:lang w:val="fr-FR" w:eastAsia="ja-JP"/>
        </w:rPr>
        <w:t>facultatif</w:t>
      </w:r>
      <w:r w:rsidR="00E72D54" w:rsidRPr="00B85FAB">
        <w:rPr>
          <w:snapToGrid w:val="0"/>
          <w:color w:val="000000"/>
          <w:lang w:val="fr-FR" w:eastAsia="ja-JP"/>
        </w:rPr>
        <w:t>)</w:t>
      </w:r>
      <w:r>
        <w:rPr>
          <w:snapToGrid w:val="0"/>
          <w:color w:val="000000"/>
          <w:lang w:val="fr-FR" w:eastAsia="ja-JP"/>
        </w:rPr>
        <w:t> </w:t>
      </w:r>
      <w:r w:rsidR="00E72D54" w:rsidRPr="00B85FAB">
        <w:rPr>
          <w:snapToGrid w:val="0"/>
          <w:color w:val="000000"/>
          <w:lang w:val="fr-FR" w:eastAsia="ja-JP"/>
        </w:rPr>
        <w:t>:</w:t>
      </w:r>
    </w:p>
    <w:p w14:paraId="420605C9" w14:textId="77777777" w:rsidR="00E72D54" w:rsidRPr="00B85FAB" w:rsidRDefault="006D5B38" w:rsidP="006D5B38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7C18D744" w14:textId="77777777" w:rsidR="006D5B38" w:rsidRPr="00B85FAB" w:rsidRDefault="006D5B38" w:rsidP="006D5B38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60075771" w14:textId="77777777" w:rsidR="006D5B38" w:rsidRPr="00B85FAB" w:rsidRDefault="006D5B38" w:rsidP="006D5B38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14B2811D" w14:textId="77777777" w:rsidR="006D5B38" w:rsidRPr="00B85FAB" w:rsidRDefault="006D5B38" w:rsidP="006D5B38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1F100111" w14:textId="77777777" w:rsidR="006D5B38" w:rsidRPr="00B85FAB" w:rsidRDefault="006D5B38" w:rsidP="006D5B38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4405A040" w14:textId="77777777" w:rsidR="006D5B38" w:rsidRPr="00B85FAB" w:rsidRDefault="006D5B38" w:rsidP="006D5B38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26E17E22" w14:textId="77777777" w:rsidR="002D0FC2" w:rsidRPr="00B85FAB" w:rsidRDefault="002D0FC2" w:rsidP="00E72D54">
      <w:pPr>
        <w:tabs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</w:p>
    <w:p w14:paraId="33B0B1BF" w14:textId="77777777" w:rsidR="00E72D54" w:rsidRPr="00B85FAB" w:rsidRDefault="000069DB" w:rsidP="000069DB">
      <w:pPr>
        <w:pStyle w:val="ListParagraph"/>
        <w:tabs>
          <w:tab w:val="left" w:pos="567"/>
          <w:tab w:val="left" w:leader="dot" w:pos="9638"/>
        </w:tabs>
        <w:spacing w:after="120" w:line="260" w:lineRule="exact"/>
        <w:ind w:left="0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>2.</w:t>
      </w:r>
      <w:r w:rsidRPr="00B85FAB">
        <w:rPr>
          <w:snapToGrid w:val="0"/>
          <w:color w:val="000000"/>
          <w:lang w:val="fr-FR" w:eastAsia="ja-JP"/>
        </w:rPr>
        <w:tab/>
      </w:r>
      <w:r w:rsidR="002D0FC2" w:rsidRPr="002D0FC2">
        <w:rPr>
          <w:snapToGrid w:val="0"/>
          <w:color w:val="000000"/>
          <w:lang w:val="fr-FR" w:eastAsia="ja-JP"/>
        </w:rPr>
        <w:t xml:space="preserve">Votre organisation verrait-elle </w:t>
      </w:r>
      <w:r w:rsidR="002D0FC2">
        <w:rPr>
          <w:snapToGrid w:val="0"/>
          <w:color w:val="000000"/>
          <w:lang w:val="fr-FR" w:eastAsia="ja-JP"/>
        </w:rPr>
        <w:t>un</w:t>
      </w:r>
      <w:r w:rsidR="002D0FC2" w:rsidRPr="002D0FC2">
        <w:rPr>
          <w:snapToGrid w:val="0"/>
          <w:color w:val="000000"/>
          <w:lang w:val="fr-FR" w:eastAsia="ja-JP"/>
        </w:rPr>
        <w:t xml:space="preserve"> inconvénient </w:t>
      </w:r>
      <w:r w:rsidR="002D0FC2">
        <w:rPr>
          <w:snapToGrid w:val="0"/>
          <w:color w:val="000000"/>
          <w:lang w:val="fr-FR" w:eastAsia="ja-JP"/>
        </w:rPr>
        <w:t>(par exemple pour les tiers) à ce que le délai</w:t>
      </w:r>
      <w:r w:rsidR="002D0FC2" w:rsidRPr="002D0FC2">
        <w:rPr>
          <w:snapToGrid w:val="0"/>
          <w:color w:val="000000"/>
          <w:lang w:val="fr-FR" w:eastAsia="ja-JP"/>
        </w:rPr>
        <w:t xml:space="preserve"> de publication standard </w:t>
      </w:r>
      <w:r w:rsidR="002D0FC2">
        <w:rPr>
          <w:snapToGrid w:val="0"/>
          <w:color w:val="000000"/>
          <w:lang w:val="fr-FR" w:eastAsia="ja-JP"/>
        </w:rPr>
        <w:t xml:space="preserve">soit porté </w:t>
      </w:r>
      <w:r w:rsidR="002D0FC2" w:rsidRPr="002D0FC2">
        <w:rPr>
          <w:snapToGrid w:val="0"/>
          <w:color w:val="000000"/>
          <w:lang w:val="fr-FR" w:eastAsia="ja-JP"/>
        </w:rPr>
        <w:t>à 12</w:t>
      </w:r>
      <w:r w:rsidR="002D0FC2">
        <w:rPr>
          <w:snapToGrid w:val="0"/>
          <w:color w:val="000000"/>
          <w:lang w:val="fr-FR" w:eastAsia="ja-JP"/>
        </w:rPr>
        <w:t> </w:t>
      </w:r>
      <w:r w:rsidR="002D0FC2" w:rsidRPr="002D0FC2">
        <w:rPr>
          <w:snapToGrid w:val="0"/>
          <w:color w:val="000000"/>
          <w:lang w:val="fr-FR" w:eastAsia="ja-JP"/>
        </w:rPr>
        <w:t>mois</w:t>
      </w:r>
      <w:r w:rsidR="00E72D54" w:rsidRPr="00B85FAB">
        <w:rPr>
          <w:snapToGrid w:val="0"/>
          <w:color w:val="000000"/>
          <w:lang w:val="fr-FR" w:eastAsia="ja-JP"/>
        </w:rPr>
        <w:t xml:space="preserve">?  </w:t>
      </w:r>
      <w:r w:rsidR="002D0FC2">
        <w:rPr>
          <w:snapToGrid w:val="0"/>
          <w:color w:val="000000"/>
          <w:lang w:val="fr-FR" w:eastAsia="ja-JP"/>
        </w:rPr>
        <w:t>Veuillez préciser </w:t>
      </w:r>
      <w:r w:rsidR="00E72D54" w:rsidRPr="00B85FAB">
        <w:rPr>
          <w:snapToGrid w:val="0"/>
          <w:color w:val="000000"/>
          <w:lang w:val="fr-FR" w:eastAsia="ja-JP"/>
        </w:rPr>
        <w:t>:</w:t>
      </w:r>
    </w:p>
    <w:p w14:paraId="1C9FCC99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3978C5C0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69472B1E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6A4E0BF7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4F2DFC6A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323947C0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5A82510A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546BC0A0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44C9ABB7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07CD7369" w14:textId="77777777" w:rsidR="00E72D54" w:rsidRPr="00B85FAB" w:rsidRDefault="000069DB" w:rsidP="000069DB">
      <w:pPr>
        <w:pStyle w:val="ListParagraph"/>
        <w:tabs>
          <w:tab w:val="left" w:pos="567"/>
          <w:tab w:val="left" w:leader="dot" w:pos="9638"/>
        </w:tabs>
        <w:spacing w:after="120" w:line="260" w:lineRule="exact"/>
        <w:ind w:left="0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>3.</w:t>
      </w:r>
      <w:r w:rsidRPr="00B85FAB">
        <w:rPr>
          <w:snapToGrid w:val="0"/>
          <w:color w:val="000000"/>
          <w:lang w:val="fr-FR" w:eastAsia="ja-JP"/>
        </w:rPr>
        <w:tab/>
      </w:r>
      <w:r w:rsidR="002D0FC2" w:rsidRPr="002D0FC2">
        <w:rPr>
          <w:snapToGrid w:val="0"/>
          <w:color w:val="000000"/>
          <w:lang w:val="fr-FR" w:eastAsia="ja-JP"/>
        </w:rPr>
        <w:t xml:space="preserve">Si </w:t>
      </w:r>
      <w:r w:rsidR="002D0FC2">
        <w:rPr>
          <w:snapToGrid w:val="0"/>
          <w:color w:val="000000"/>
          <w:lang w:val="fr-FR" w:eastAsia="ja-JP"/>
        </w:rPr>
        <w:t>le délai</w:t>
      </w:r>
      <w:r w:rsidR="002D0FC2" w:rsidRPr="002D0FC2">
        <w:rPr>
          <w:snapToGrid w:val="0"/>
          <w:color w:val="000000"/>
          <w:lang w:val="fr-FR" w:eastAsia="ja-JP"/>
        </w:rPr>
        <w:t xml:space="preserve"> de publication standard devait être </w:t>
      </w:r>
      <w:r w:rsidR="002D0FC2">
        <w:rPr>
          <w:snapToGrid w:val="0"/>
          <w:color w:val="000000"/>
          <w:lang w:val="fr-FR" w:eastAsia="ja-JP"/>
        </w:rPr>
        <w:t>porté</w:t>
      </w:r>
      <w:r w:rsidR="002D0FC2" w:rsidRPr="002D0FC2">
        <w:rPr>
          <w:snapToGrid w:val="0"/>
          <w:color w:val="000000"/>
          <w:lang w:val="fr-FR" w:eastAsia="ja-JP"/>
        </w:rPr>
        <w:t xml:space="preserve"> à 12</w:t>
      </w:r>
      <w:r w:rsidR="002D0FC2">
        <w:rPr>
          <w:snapToGrid w:val="0"/>
          <w:color w:val="000000"/>
          <w:lang w:val="fr-FR" w:eastAsia="ja-JP"/>
        </w:rPr>
        <w:t> </w:t>
      </w:r>
      <w:r w:rsidR="002D0FC2" w:rsidRPr="002D0FC2">
        <w:rPr>
          <w:snapToGrid w:val="0"/>
          <w:color w:val="000000"/>
          <w:lang w:val="fr-FR" w:eastAsia="ja-JP"/>
        </w:rPr>
        <w:t>mois, votre organisation serait</w:t>
      </w:r>
      <w:r w:rsidR="002D0FC2">
        <w:rPr>
          <w:snapToGrid w:val="0"/>
          <w:color w:val="000000"/>
          <w:lang w:val="fr-FR" w:eastAsia="ja-JP"/>
        </w:rPr>
        <w:noBreakHyphen/>
      </w:r>
      <w:r w:rsidR="002D0FC2" w:rsidRPr="002D0FC2">
        <w:rPr>
          <w:snapToGrid w:val="0"/>
          <w:color w:val="000000"/>
          <w:lang w:val="fr-FR" w:eastAsia="ja-JP"/>
        </w:rPr>
        <w:t>elle favorable à l</w:t>
      </w:r>
      <w:r w:rsidR="00EE3F23">
        <w:rPr>
          <w:snapToGrid w:val="0"/>
          <w:color w:val="000000"/>
          <w:lang w:val="fr-FR" w:eastAsia="ja-JP"/>
        </w:rPr>
        <w:t>’</w:t>
      </w:r>
      <w:r w:rsidR="002D0FC2" w:rsidRPr="002D0FC2">
        <w:rPr>
          <w:snapToGrid w:val="0"/>
          <w:color w:val="000000"/>
          <w:lang w:val="fr-FR" w:eastAsia="ja-JP"/>
        </w:rPr>
        <w:t>introduction de la possibilité de demander une publication anticipée à tout moment avant l</w:t>
      </w:r>
      <w:r w:rsidR="00EE3F23">
        <w:rPr>
          <w:snapToGrid w:val="0"/>
          <w:color w:val="000000"/>
          <w:lang w:val="fr-FR" w:eastAsia="ja-JP"/>
        </w:rPr>
        <w:t>’</w:t>
      </w:r>
      <w:r w:rsidR="002D0FC2" w:rsidRPr="002D0FC2">
        <w:rPr>
          <w:snapToGrid w:val="0"/>
          <w:color w:val="000000"/>
          <w:lang w:val="fr-FR" w:eastAsia="ja-JP"/>
        </w:rPr>
        <w:t xml:space="preserve">expiration </w:t>
      </w:r>
      <w:r w:rsidR="002D0FC2">
        <w:rPr>
          <w:snapToGrid w:val="0"/>
          <w:color w:val="000000"/>
          <w:lang w:val="fr-FR" w:eastAsia="ja-JP"/>
        </w:rPr>
        <w:t>du délai</w:t>
      </w:r>
      <w:r w:rsidR="002D0FC2" w:rsidRPr="002D0FC2">
        <w:rPr>
          <w:snapToGrid w:val="0"/>
          <w:color w:val="000000"/>
          <w:lang w:val="fr-FR" w:eastAsia="ja-JP"/>
        </w:rPr>
        <w:t xml:space="preserve"> de publication standard</w:t>
      </w:r>
      <w:r w:rsidR="002D0FC2">
        <w:rPr>
          <w:snapToGrid w:val="0"/>
          <w:color w:val="000000"/>
          <w:lang w:val="fr-FR" w:eastAsia="ja-JP"/>
        </w:rPr>
        <w:t xml:space="preserve"> de 12 </w:t>
      </w:r>
      <w:r w:rsidR="002D0FC2" w:rsidRPr="002D0FC2">
        <w:rPr>
          <w:snapToGrid w:val="0"/>
          <w:color w:val="000000"/>
          <w:lang w:val="fr-FR" w:eastAsia="ja-JP"/>
        </w:rPr>
        <w:t>mois</w:t>
      </w:r>
      <w:r w:rsidR="00E72D54" w:rsidRPr="00B85FAB">
        <w:rPr>
          <w:snapToGrid w:val="0"/>
          <w:color w:val="000000"/>
          <w:lang w:val="fr-FR" w:eastAsia="ja-JP"/>
        </w:rPr>
        <w:t>?</w:t>
      </w:r>
    </w:p>
    <w:p w14:paraId="6FD13425" w14:textId="77777777" w:rsidR="009878FD" w:rsidRPr="00B85FAB" w:rsidRDefault="002D0FC2" w:rsidP="009878FD">
      <w:pPr>
        <w:tabs>
          <w:tab w:val="left" w:pos="993"/>
          <w:tab w:val="left" w:leader="dot" w:pos="9638"/>
        </w:tabs>
        <w:spacing w:after="120" w:line="260" w:lineRule="exact"/>
        <w:ind w:left="567"/>
        <w:rPr>
          <w:snapToGrid w:val="0"/>
          <w:color w:val="000000"/>
          <w:lang w:val="fr-FR" w:eastAsia="ja-JP"/>
        </w:rPr>
      </w:pPr>
      <w:r>
        <w:rPr>
          <w:snapToGrid w:val="0"/>
          <w:color w:val="000000"/>
          <w:lang w:val="fr-FR" w:eastAsia="ja-JP"/>
        </w:rPr>
        <w:t>Oui</w:t>
      </w:r>
      <w:r w:rsidR="009878FD" w:rsidRPr="00B85FAB">
        <w:rPr>
          <w:snapToGrid w:val="0"/>
          <w:color w:val="000000"/>
          <w:lang w:val="fr-FR" w:eastAsia="ja-JP"/>
        </w:rPr>
        <w:tab/>
      </w:r>
      <w:sdt>
        <w:sdtPr>
          <w:rPr>
            <w:snapToGrid w:val="0"/>
            <w:color w:val="000000"/>
            <w:lang w:val="fr-FR" w:eastAsia="ja-JP"/>
          </w:rPr>
          <w:id w:val="682014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8FD" w:rsidRPr="00B85FAB">
            <w:rPr>
              <w:rFonts w:ascii="MS Gothic" w:eastAsia="MS Gothic" w:hAnsi="MS Gothic"/>
              <w:snapToGrid w:val="0"/>
              <w:color w:val="000000"/>
              <w:lang w:val="fr-FR" w:eastAsia="ja-JP"/>
            </w:rPr>
            <w:t>☐</w:t>
          </w:r>
        </w:sdtContent>
      </w:sdt>
    </w:p>
    <w:p w14:paraId="47CA67B3" w14:textId="77777777" w:rsidR="009878FD" w:rsidRPr="00B85FAB" w:rsidRDefault="009878FD" w:rsidP="009878FD">
      <w:pPr>
        <w:tabs>
          <w:tab w:val="left" w:pos="993"/>
          <w:tab w:val="left" w:leader="dot" w:pos="9638"/>
        </w:tabs>
        <w:spacing w:after="120" w:line="260" w:lineRule="exact"/>
        <w:ind w:left="567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>No</w:t>
      </w:r>
      <w:r w:rsidR="002D0FC2">
        <w:rPr>
          <w:snapToGrid w:val="0"/>
          <w:color w:val="000000"/>
          <w:lang w:val="fr-FR" w:eastAsia="ja-JP"/>
        </w:rPr>
        <w:t>n</w:t>
      </w:r>
      <w:r w:rsidRPr="00B85FAB">
        <w:rPr>
          <w:snapToGrid w:val="0"/>
          <w:color w:val="000000"/>
          <w:lang w:val="fr-FR" w:eastAsia="ja-JP"/>
        </w:rPr>
        <w:tab/>
      </w:r>
      <w:sdt>
        <w:sdtPr>
          <w:rPr>
            <w:snapToGrid w:val="0"/>
            <w:color w:val="000000"/>
            <w:szCs w:val="22"/>
            <w:lang w:val="fr-FR" w:eastAsia="ja-JP"/>
          </w:rPr>
          <w:id w:val="-28281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5FAB">
            <w:rPr>
              <w:rFonts w:ascii="MS Gothic" w:eastAsia="MS Gothic" w:hAnsi="MS Gothic"/>
              <w:snapToGrid w:val="0"/>
              <w:color w:val="000000"/>
              <w:szCs w:val="22"/>
              <w:lang w:val="fr-FR" w:eastAsia="ja-JP"/>
            </w:rPr>
            <w:t>☐</w:t>
          </w:r>
        </w:sdtContent>
      </w:sdt>
    </w:p>
    <w:p w14:paraId="3AF92C66" w14:textId="77777777" w:rsidR="009878FD" w:rsidRPr="00B85FAB" w:rsidRDefault="002D0FC2" w:rsidP="009878FD">
      <w:pPr>
        <w:tabs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>
        <w:rPr>
          <w:snapToGrid w:val="0"/>
          <w:color w:val="000000"/>
          <w:lang w:val="fr-FR" w:eastAsia="ja-JP"/>
        </w:rPr>
        <w:t>Motif</w:t>
      </w:r>
      <w:r w:rsidR="009878FD" w:rsidRPr="00B85FAB">
        <w:rPr>
          <w:snapToGrid w:val="0"/>
          <w:color w:val="000000"/>
          <w:lang w:val="fr-FR" w:eastAsia="ja-JP"/>
        </w:rPr>
        <w:t>s (</w:t>
      </w:r>
      <w:r>
        <w:rPr>
          <w:snapToGrid w:val="0"/>
          <w:color w:val="000000"/>
          <w:lang w:val="fr-FR" w:eastAsia="ja-JP"/>
        </w:rPr>
        <w:t>facultatif</w:t>
      </w:r>
      <w:r w:rsidR="009878FD" w:rsidRPr="00B85FAB">
        <w:rPr>
          <w:snapToGrid w:val="0"/>
          <w:color w:val="000000"/>
          <w:lang w:val="fr-FR" w:eastAsia="ja-JP"/>
        </w:rPr>
        <w:t>)</w:t>
      </w:r>
      <w:r>
        <w:rPr>
          <w:snapToGrid w:val="0"/>
          <w:color w:val="000000"/>
          <w:lang w:val="fr-FR" w:eastAsia="ja-JP"/>
        </w:rPr>
        <w:t> </w:t>
      </w:r>
      <w:r w:rsidR="009878FD" w:rsidRPr="00B85FAB">
        <w:rPr>
          <w:snapToGrid w:val="0"/>
          <w:color w:val="000000"/>
          <w:lang w:val="fr-FR" w:eastAsia="ja-JP"/>
        </w:rPr>
        <w:t>:</w:t>
      </w:r>
    </w:p>
    <w:p w14:paraId="04290DE4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36068639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3357FA7F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5131A00B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77D5B1E4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5C16673F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6283B99F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7274EB84" w14:textId="77777777" w:rsidR="00E72D54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0A7C103B" w14:textId="77777777" w:rsidR="00E72D54" w:rsidRPr="00B85FAB" w:rsidRDefault="00E72D54" w:rsidP="009878FD">
      <w:pPr>
        <w:tabs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</w:p>
    <w:p w14:paraId="548762DA" w14:textId="77777777" w:rsidR="00E72D54" w:rsidRPr="00B85FAB" w:rsidRDefault="009878FD" w:rsidP="009878FD">
      <w:pPr>
        <w:pStyle w:val="ListParagraph"/>
        <w:tabs>
          <w:tab w:val="left" w:pos="567"/>
          <w:tab w:val="left" w:leader="dot" w:pos="9638"/>
        </w:tabs>
        <w:spacing w:after="120" w:line="260" w:lineRule="exact"/>
        <w:ind w:left="0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>4.</w:t>
      </w:r>
      <w:r w:rsidRPr="00B85FAB">
        <w:rPr>
          <w:snapToGrid w:val="0"/>
          <w:color w:val="000000"/>
          <w:lang w:val="fr-FR" w:eastAsia="ja-JP"/>
        </w:rPr>
        <w:tab/>
      </w:r>
      <w:r w:rsidR="00986848" w:rsidRPr="00986848">
        <w:rPr>
          <w:snapToGrid w:val="0"/>
          <w:color w:val="000000"/>
          <w:lang w:val="fr-FR" w:eastAsia="ja-JP"/>
        </w:rPr>
        <w:t>Votre organisation a</w:t>
      </w:r>
      <w:r w:rsidR="00986848">
        <w:rPr>
          <w:snapToGrid w:val="0"/>
          <w:color w:val="000000"/>
          <w:lang w:val="fr-FR" w:eastAsia="ja-JP"/>
        </w:rPr>
        <w:noBreakHyphen/>
      </w:r>
      <w:r w:rsidR="00986848" w:rsidRPr="00986848">
        <w:rPr>
          <w:snapToGrid w:val="0"/>
          <w:color w:val="000000"/>
          <w:lang w:val="fr-FR" w:eastAsia="ja-JP"/>
        </w:rPr>
        <w:t>t</w:t>
      </w:r>
      <w:r w:rsidR="00986848">
        <w:rPr>
          <w:snapToGrid w:val="0"/>
          <w:color w:val="000000"/>
          <w:lang w:val="fr-FR" w:eastAsia="ja-JP"/>
        </w:rPr>
        <w:noBreakHyphen/>
      </w:r>
      <w:r w:rsidR="00986848" w:rsidRPr="00986848">
        <w:rPr>
          <w:snapToGrid w:val="0"/>
          <w:color w:val="000000"/>
          <w:lang w:val="fr-FR" w:eastAsia="ja-JP"/>
        </w:rPr>
        <w:t>elle d</w:t>
      </w:r>
      <w:r w:rsidR="00EE3F23">
        <w:rPr>
          <w:snapToGrid w:val="0"/>
          <w:color w:val="000000"/>
          <w:lang w:val="fr-FR" w:eastAsia="ja-JP"/>
        </w:rPr>
        <w:t>’</w:t>
      </w:r>
      <w:r w:rsidR="00986848" w:rsidRPr="00986848">
        <w:rPr>
          <w:snapToGrid w:val="0"/>
          <w:color w:val="000000"/>
          <w:lang w:val="fr-FR" w:eastAsia="ja-JP"/>
        </w:rPr>
        <w:t xml:space="preserve">autres </w:t>
      </w:r>
      <w:r w:rsidR="00986848">
        <w:rPr>
          <w:snapToGrid w:val="0"/>
          <w:color w:val="000000"/>
          <w:lang w:val="fr-FR" w:eastAsia="ja-JP"/>
        </w:rPr>
        <w:t>propositions</w:t>
      </w:r>
      <w:r w:rsidR="00986848" w:rsidRPr="00986848">
        <w:rPr>
          <w:snapToGrid w:val="0"/>
          <w:color w:val="000000"/>
          <w:lang w:val="fr-FR" w:eastAsia="ja-JP"/>
        </w:rPr>
        <w:t xml:space="preserve"> ou préoccupations en ce qui concerne </w:t>
      </w:r>
      <w:r w:rsidR="00986848">
        <w:rPr>
          <w:snapToGrid w:val="0"/>
          <w:color w:val="000000"/>
          <w:lang w:val="fr-FR" w:eastAsia="ja-JP"/>
        </w:rPr>
        <w:t>la date</w:t>
      </w:r>
      <w:r w:rsidR="00986848" w:rsidRPr="00986848">
        <w:rPr>
          <w:snapToGrid w:val="0"/>
          <w:color w:val="000000"/>
          <w:lang w:val="fr-FR" w:eastAsia="ja-JP"/>
        </w:rPr>
        <w:t xml:space="preserve"> de publication des enregistrements internationaux</w:t>
      </w:r>
      <w:r w:rsidR="00E72D54" w:rsidRPr="00B85FAB">
        <w:rPr>
          <w:snapToGrid w:val="0"/>
          <w:color w:val="000000"/>
          <w:lang w:val="fr-FR" w:eastAsia="ja-JP"/>
        </w:rPr>
        <w:t>?</w:t>
      </w:r>
    </w:p>
    <w:p w14:paraId="68E8209B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2C37CB3A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737C3FA4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00A2730A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7323EEDE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448FA93E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565C98CC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395EABD1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7FF2455E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0C5C1C31" w14:textId="77777777" w:rsidR="00E72D54" w:rsidRPr="00B85FAB" w:rsidRDefault="00E72D54" w:rsidP="00E72D54">
      <w:pPr>
        <w:rPr>
          <w:lang w:val="fr-FR"/>
        </w:rPr>
      </w:pPr>
    </w:p>
    <w:p w14:paraId="44B22CC9" w14:textId="77777777" w:rsidR="00E72D54" w:rsidRPr="00B85FAB" w:rsidRDefault="009878FD" w:rsidP="009878FD">
      <w:pPr>
        <w:tabs>
          <w:tab w:val="left" w:pos="567"/>
        </w:tabs>
        <w:rPr>
          <w:lang w:val="fr-FR"/>
        </w:rPr>
      </w:pPr>
      <w:r w:rsidRPr="00B85FAB">
        <w:rPr>
          <w:lang w:val="fr-FR"/>
        </w:rPr>
        <w:t xml:space="preserve">5. </w:t>
      </w:r>
      <w:r w:rsidRPr="00B85FAB">
        <w:rPr>
          <w:lang w:val="fr-FR"/>
        </w:rPr>
        <w:tab/>
      </w:r>
      <w:r w:rsidR="00986848">
        <w:rPr>
          <w:lang w:val="fr-FR"/>
        </w:rPr>
        <w:t>Autres informations utiles</w:t>
      </w:r>
    </w:p>
    <w:p w14:paraId="026D0293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2B0875EE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7EA0EB99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7E7B5001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5BB92747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6924C4CE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429EEFE6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666614F5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753EE300" w14:textId="77777777" w:rsidR="00E72D54" w:rsidRPr="00B85FAB" w:rsidRDefault="00E72D54" w:rsidP="00E72D54">
      <w:pPr>
        <w:rPr>
          <w:lang w:val="fr-FR"/>
        </w:rPr>
      </w:pPr>
    </w:p>
    <w:p w14:paraId="08977BB4" w14:textId="77777777" w:rsidR="00E72D54" w:rsidRPr="00B85FAB" w:rsidRDefault="00E72D54" w:rsidP="00E72D54">
      <w:pPr>
        <w:rPr>
          <w:lang w:val="fr-FR"/>
        </w:rPr>
      </w:pPr>
    </w:p>
    <w:p w14:paraId="36714FE1" w14:textId="77777777" w:rsidR="00E72D54" w:rsidRPr="00B85FAB" w:rsidRDefault="009878FD" w:rsidP="009878FD">
      <w:pPr>
        <w:tabs>
          <w:tab w:val="left" w:pos="5103"/>
        </w:tabs>
        <w:rPr>
          <w:lang w:val="fr-FR"/>
        </w:rPr>
      </w:pPr>
      <w:r w:rsidRPr="00B85FAB">
        <w:rPr>
          <w:lang w:val="fr-FR"/>
        </w:rPr>
        <w:tab/>
      </w:r>
      <w:r w:rsidR="00E72D54" w:rsidRPr="00B85FAB">
        <w:rPr>
          <w:lang w:val="fr-FR"/>
        </w:rPr>
        <w:t>[</w:t>
      </w:r>
      <w:r w:rsidR="00986848">
        <w:rPr>
          <w:lang w:val="fr-FR"/>
        </w:rPr>
        <w:t>Fin du</w:t>
      </w:r>
      <w:r w:rsidR="00E72D54" w:rsidRPr="00B85FAB">
        <w:rPr>
          <w:lang w:val="fr-FR"/>
        </w:rPr>
        <w:t xml:space="preserve"> document]</w:t>
      </w:r>
    </w:p>
    <w:p w14:paraId="34123A03" w14:textId="77777777" w:rsidR="000F5E56" w:rsidRPr="00B85FAB" w:rsidRDefault="000F5E56" w:rsidP="00804DB7">
      <w:pPr>
        <w:rPr>
          <w:lang w:val="fr-FR"/>
        </w:rPr>
      </w:pPr>
    </w:p>
    <w:sectPr w:rsidR="000F5E56" w:rsidRPr="00B85FAB" w:rsidSect="0047681D">
      <w:headerReference w:type="even" r:id="rId9"/>
      <w:headerReference w:type="default" r:id="rId10"/>
      <w:headerReference w:type="first" r:id="rId11"/>
      <w:type w:val="continuous"/>
      <w:pgSz w:w="11907" w:h="16840" w:code="9"/>
      <w:pgMar w:top="567" w:right="1134" w:bottom="1021" w:left="1701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65338" w14:textId="77777777" w:rsidR="00632F4B" w:rsidRDefault="00632F4B" w:rsidP="00E72D54">
      <w:r>
        <w:separator/>
      </w:r>
    </w:p>
  </w:endnote>
  <w:endnote w:type="continuationSeparator" w:id="0">
    <w:p w14:paraId="63ED51AE" w14:textId="77777777" w:rsidR="00632F4B" w:rsidRDefault="00632F4B" w:rsidP="00E72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B8D35" w14:textId="77777777" w:rsidR="00632F4B" w:rsidRDefault="00632F4B" w:rsidP="00E72D54">
      <w:r>
        <w:separator/>
      </w:r>
    </w:p>
  </w:footnote>
  <w:footnote w:type="continuationSeparator" w:id="0">
    <w:p w14:paraId="59396F67" w14:textId="77777777" w:rsidR="00632F4B" w:rsidRDefault="00632F4B" w:rsidP="00E72D54">
      <w:r>
        <w:continuationSeparator/>
      </w:r>
    </w:p>
  </w:footnote>
  <w:footnote w:id="1">
    <w:p w14:paraId="6ED63E1C" w14:textId="4C9E2A62" w:rsidR="00E72D54" w:rsidRPr="00D35BE3" w:rsidRDefault="00E72D54" w:rsidP="00E72D54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0239C6">
        <w:rPr>
          <w:lang w:val="fr-CH"/>
        </w:rPr>
        <w:t xml:space="preserve"> </w:t>
      </w:r>
      <w:r w:rsidRPr="000239C6">
        <w:rPr>
          <w:lang w:val="fr-CH"/>
        </w:rPr>
        <w:tab/>
      </w:r>
      <w:r w:rsidRPr="00D35BE3">
        <w:rPr>
          <w:lang w:val="fr-FR"/>
        </w:rPr>
        <w:t>R</w:t>
      </w:r>
      <w:r w:rsidR="00D35BE3" w:rsidRPr="00D35BE3">
        <w:rPr>
          <w:lang w:val="fr-FR"/>
        </w:rPr>
        <w:t>èg</w:t>
      </w:r>
      <w:r w:rsidRPr="00D35BE3">
        <w:rPr>
          <w:lang w:val="fr-FR"/>
        </w:rPr>
        <w:t>le</w:t>
      </w:r>
      <w:r w:rsidR="00D35BE3" w:rsidRPr="00D35BE3">
        <w:rPr>
          <w:lang w:val="fr-FR"/>
        </w:rPr>
        <w:t> </w:t>
      </w:r>
      <w:proofErr w:type="gramStart"/>
      <w:r w:rsidRPr="00D35BE3">
        <w:rPr>
          <w:lang w:val="fr-FR"/>
        </w:rPr>
        <w:t>17</w:t>
      </w:r>
      <w:r w:rsidR="00D35BE3" w:rsidRPr="00D35BE3">
        <w:rPr>
          <w:lang w:val="fr-FR"/>
        </w:rPr>
        <w:t>.</w:t>
      </w:r>
      <w:r w:rsidRPr="00D35BE3">
        <w:rPr>
          <w:lang w:val="fr-FR"/>
        </w:rPr>
        <w:t>1)i</w:t>
      </w:r>
      <w:proofErr w:type="gramEnd"/>
      <w:r w:rsidRPr="00D35BE3">
        <w:rPr>
          <w:lang w:val="fr-FR"/>
        </w:rPr>
        <w:t xml:space="preserve">) </w:t>
      </w:r>
      <w:r w:rsidR="00D35BE3" w:rsidRPr="00D35BE3">
        <w:rPr>
          <w:lang w:val="fr-FR"/>
        </w:rPr>
        <w:t xml:space="preserve">à </w:t>
      </w:r>
      <w:r w:rsidRPr="00D35BE3">
        <w:rPr>
          <w:lang w:val="fr-FR"/>
        </w:rPr>
        <w:t xml:space="preserve">iii) </w:t>
      </w:r>
      <w:r w:rsidR="00D35BE3" w:rsidRPr="00D35BE3">
        <w:rPr>
          <w:lang w:val="fr-FR"/>
        </w:rPr>
        <w:t>du règlement d’exécution commun</w:t>
      </w:r>
      <w:r w:rsidRPr="00D35BE3">
        <w:rPr>
          <w:lang w:val="fr-FR"/>
        </w:rPr>
        <w:t>.</w:t>
      </w:r>
    </w:p>
  </w:footnote>
  <w:footnote w:id="2">
    <w:p w14:paraId="2C199EFA" w14:textId="77777777" w:rsidR="00E72D54" w:rsidRPr="00D35BE3" w:rsidRDefault="00E72D54" w:rsidP="00E72D54">
      <w:pPr>
        <w:pStyle w:val="FootnoteText"/>
        <w:rPr>
          <w:lang w:val="fr-FR"/>
        </w:rPr>
      </w:pPr>
      <w:r w:rsidRPr="00D35BE3">
        <w:rPr>
          <w:rStyle w:val="FootnoteReference"/>
          <w:lang w:val="fr-FR"/>
        </w:rPr>
        <w:footnoteRef/>
      </w:r>
      <w:r w:rsidRPr="00D35BE3">
        <w:rPr>
          <w:lang w:val="fr-FR"/>
        </w:rPr>
        <w:t xml:space="preserve"> </w:t>
      </w:r>
      <w:r w:rsidRPr="00D35BE3">
        <w:rPr>
          <w:lang w:val="fr-FR"/>
        </w:rPr>
        <w:tab/>
        <w:t>Article</w:t>
      </w:r>
      <w:r w:rsidR="00D35BE3">
        <w:rPr>
          <w:lang w:val="fr-FR"/>
        </w:rPr>
        <w:t> </w:t>
      </w:r>
      <w:proofErr w:type="gramStart"/>
      <w:r w:rsidRPr="00D35BE3">
        <w:rPr>
          <w:lang w:val="fr-FR"/>
        </w:rPr>
        <w:t>11</w:t>
      </w:r>
      <w:r w:rsidR="00D35BE3">
        <w:rPr>
          <w:lang w:val="fr-FR"/>
        </w:rPr>
        <w:t>.</w:t>
      </w:r>
      <w:r w:rsidRPr="00D35BE3">
        <w:rPr>
          <w:lang w:val="fr-FR"/>
        </w:rPr>
        <w:t>1)a</w:t>
      </w:r>
      <w:proofErr w:type="gramEnd"/>
      <w:r w:rsidRPr="00D35BE3">
        <w:rPr>
          <w:lang w:val="fr-FR"/>
        </w:rPr>
        <w:t xml:space="preserve">) </w:t>
      </w:r>
      <w:r w:rsidR="00D35BE3">
        <w:rPr>
          <w:lang w:val="fr-FR"/>
        </w:rPr>
        <w:t>de l’Acte de</w:t>
      </w:r>
      <w:r w:rsidRPr="00D35BE3">
        <w:rPr>
          <w:lang w:val="fr-FR"/>
        </w:rPr>
        <w:t xml:space="preserve"> 1999.</w:t>
      </w:r>
    </w:p>
  </w:footnote>
  <w:footnote w:id="3">
    <w:p w14:paraId="6DF49863" w14:textId="77777777" w:rsidR="00E72D54" w:rsidRPr="00D35BE3" w:rsidRDefault="00E72D54" w:rsidP="00E72D54">
      <w:pPr>
        <w:pStyle w:val="FootnoteText"/>
        <w:rPr>
          <w:lang w:val="fr-FR"/>
        </w:rPr>
      </w:pPr>
      <w:r w:rsidRPr="00D35BE3">
        <w:rPr>
          <w:rStyle w:val="FootnoteReference"/>
          <w:lang w:val="fr-FR"/>
        </w:rPr>
        <w:footnoteRef/>
      </w:r>
      <w:r w:rsidRPr="00D35BE3">
        <w:rPr>
          <w:lang w:val="fr-FR"/>
        </w:rPr>
        <w:t xml:space="preserve"> </w:t>
      </w:r>
      <w:r w:rsidRPr="00D35BE3">
        <w:rPr>
          <w:lang w:val="fr-FR"/>
        </w:rPr>
        <w:tab/>
        <w:t>Organi</w:t>
      </w:r>
      <w:r w:rsidR="00D35BE3">
        <w:rPr>
          <w:lang w:val="fr-FR"/>
        </w:rPr>
        <w:t>s</w:t>
      </w:r>
      <w:r w:rsidRPr="00D35BE3">
        <w:rPr>
          <w:lang w:val="fr-FR"/>
        </w:rPr>
        <w:t xml:space="preserve">ation </w:t>
      </w:r>
      <w:r w:rsidR="00D35BE3">
        <w:rPr>
          <w:lang w:val="fr-FR"/>
        </w:rPr>
        <w:t>a</w:t>
      </w:r>
      <w:r w:rsidR="00D35BE3" w:rsidRPr="00D35BE3">
        <w:rPr>
          <w:lang w:val="fr-FR"/>
        </w:rPr>
        <w:t>frica</w:t>
      </w:r>
      <w:r w:rsidR="00D35BE3">
        <w:rPr>
          <w:lang w:val="fr-FR"/>
        </w:rPr>
        <w:t>i</w:t>
      </w:r>
      <w:r w:rsidR="00D35BE3" w:rsidRPr="00D35BE3">
        <w:rPr>
          <w:lang w:val="fr-FR"/>
        </w:rPr>
        <w:t>n</w:t>
      </w:r>
      <w:r w:rsidR="00D35BE3">
        <w:rPr>
          <w:lang w:val="fr-FR"/>
        </w:rPr>
        <w:t xml:space="preserve">e de la propriété intellectuelle </w:t>
      </w:r>
      <w:r w:rsidRPr="00D35BE3">
        <w:rPr>
          <w:lang w:val="fr-FR"/>
        </w:rPr>
        <w:t>(OAPI) (12</w:t>
      </w:r>
      <w:r w:rsidR="00D35BE3">
        <w:rPr>
          <w:lang w:val="fr-FR"/>
        </w:rPr>
        <w:t> </w:t>
      </w:r>
      <w:r w:rsidRPr="00D35BE3">
        <w:rPr>
          <w:lang w:val="fr-FR"/>
        </w:rPr>
        <w:t>mo</w:t>
      </w:r>
      <w:r w:rsidR="00D35BE3">
        <w:rPr>
          <w:lang w:val="fr-FR"/>
        </w:rPr>
        <w:t>is</w:t>
      </w:r>
      <w:r w:rsidRPr="00D35BE3">
        <w:rPr>
          <w:lang w:val="fr-FR"/>
        </w:rPr>
        <w:t>), Belize (12</w:t>
      </w:r>
      <w:r w:rsidR="00D35BE3">
        <w:rPr>
          <w:lang w:val="fr-FR"/>
        </w:rPr>
        <w:t> </w:t>
      </w:r>
      <w:r w:rsidRPr="00D35BE3">
        <w:rPr>
          <w:lang w:val="fr-FR"/>
        </w:rPr>
        <w:t>mo</w:t>
      </w:r>
      <w:r w:rsidR="00D35BE3">
        <w:rPr>
          <w:lang w:val="fr-FR"/>
        </w:rPr>
        <w:t>i</w:t>
      </w:r>
      <w:r w:rsidRPr="00D35BE3">
        <w:rPr>
          <w:lang w:val="fr-FR"/>
        </w:rPr>
        <w:t>s), Benelux (12</w:t>
      </w:r>
      <w:r w:rsidR="00D35BE3">
        <w:rPr>
          <w:lang w:val="fr-FR"/>
        </w:rPr>
        <w:t> </w:t>
      </w:r>
      <w:r w:rsidRPr="00D35BE3">
        <w:rPr>
          <w:lang w:val="fr-FR"/>
        </w:rPr>
        <w:t>mo</w:t>
      </w:r>
      <w:r w:rsidR="00D35BE3">
        <w:rPr>
          <w:lang w:val="fr-FR"/>
        </w:rPr>
        <w:t>i</w:t>
      </w:r>
      <w:r w:rsidRPr="00D35BE3">
        <w:rPr>
          <w:lang w:val="fr-FR"/>
        </w:rPr>
        <w:t>s), Brunei Darussalam (12</w:t>
      </w:r>
      <w:r w:rsidR="00D35BE3">
        <w:rPr>
          <w:lang w:val="fr-FR"/>
        </w:rPr>
        <w:t> </w:t>
      </w:r>
      <w:r w:rsidRPr="00D35BE3">
        <w:rPr>
          <w:lang w:val="fr-FR"/>
        </w:rPr>
        <w:t>mo</w:t>
      </w:r>
      <w:r w:rsidR="00D35BE3">
        <w:rPr>
          <w:lang w:val="fr-FR"/>
        </w:rPr>
        <w:t>i</w:t>
      </w:r>
      <w:r w:rsidRPr="00D35BE3">
        <w:rPr>
          <w:lang w:val="fr-FR"/>
        </w:rPr>
        <w:t>s), Cambod</w:t>
      </w:r>
      <w:r w:rsidR="00D35BE3">
        <w:rPr>
          <w:lang w:val="fr-FR"/>
        </w:rPr>
        <w:t>ge</w:t>
      </w:r>
      <w:r w:rsidRPr="00D35BE3">
        <w:rPr>
          <w:lang w:val="fr-FR"/>
        </w:rPr>
        <w:t xml:space="preserve"> (12</w:t>
      </w:r>
      <w:r w:rsidR="00D35BE3">
        <w:rPr>
          <w:lang w:val="fr-FR"/>
        </w:rPr>
        <w:t> </w:t>
      </w:r>
      <w:r w:rsidRPr="00D35BE3">
        <w:rPr>
          <w:lang w:val="fr-FR"/>
        </w:rPr>
        <w:t>mo</w:t>
      </w:r>
      <w:r w:rsidR="00D35BE3">
        <w:rPr>
          <w:lang w:val="fr-FR"/>
        </w:rPr>
        <w:t>i</w:t>
      </w:r>
      <w:r w:rsidRPr="00D35BE3">
        <w:rPr>
          <w:lang w:val="fr-FR"/>
        </w:rPr>
        <w:t>s), Croati</w:t>
      </w:r>
      <w:r w:rsidR="00D35BE3">
        <w:rPr>
          <w:lang w:val="fr-FR"/>
        </w:rPr>
        <w:t>e</w:t>
      </w:r>
      <w:r w:rsidRPr="00D35BE3">
        <w:rPr>
          <w:lang w:val="fr-FR"/>
        </w:rPr>
        <w:t xml:space="preserve"> (12</w:t>
      </w:r>
      <w:r w:rsidR="00D35BE3">
        <w:rPr>
          <w:lang w:val="fr-FR"/>
        </w:rPr>
        <w:t> </w:t>
      </w:r>
      <w:r w:rsidRPr="00D35BE3">
        <w:rPr>
          <w:lang w:val="fr-FR"/>
        </w:rPr>
        <w:t>mo</w:t>
      </w:r>
      <w:r w:rsidR="00D35BE3">
        <w:rPr>
          <w:lang w:val="fr-FR"/>
        </w:rPr>
        <w:t>i</w:t>
      </w:r>
      <w:r w:rsidRPr="00D35BE3">
        <w:rPr>
          <w:lang w:val="fr-FR"/>
        </w:rPr>
        <w:t>s), D</w:t>
      </w:r>
      <w:r w:rsidR="00D35BE3">
        <w:rPr>
          <w:lang w:val="fr-FR"/>
        </w:rPr>
        <w:t>a</w:t>
      </w:r>
      <w:r w:rsidRPr="00D35BE3">
        <w:rPr>
          <w:lang w:val="fr-FR"/>
        </w:rPr>
        <w:t>n</w:t>
      </w:r>
      <w:r w:rsidR="00D35BE3">
        <w:rPr>
          <w:lang w:val="fr-FR"/>
        </w:rPr>
        <w:t>e</w:t>
      </w:r>
      <w:r w:rsidRPr="00D35BE3">
        <w:rPr>
          <w:lang w:val="fr-FR"/>
        </w:rPr>
        <w:t>mark (6</w:t>
      </w:r>
      <w:r w:rsidR="00D35BE3">
        <w:rPr>
          <w:lang w:val="fr-FR"/>
        </w:rPr>
        <w:t> </w:t>
      </w:r>
      <w:r w:rsidRPr="00D35BE3">
        <w:rPr>
          <w:lang w:val="fr-FR"/>
        </w:rPr>
        <w:t>mo</w:t>
      </w:r>
      <w:r w:rsidR="00D35BE3">
        <w:rPr>
          <w:lang w:val="fr-FR"/>
        </w:rPr>
        <w:t>i</w:t>
      </w:r>
      <w:r w:rsidRPr="00D35BE3">
        <w:rPr>
          <w:lang w:val="fr-FR"/>
        </w:rPr>
        <w:t>s), Estoni</w:t>
      </w:r>
      <w:r w:rsidR="00D35BE3">
        <w:rPr>
          <w:lang w:val="fr-FR"/>
        </w:rPr>
        <w:t>e</w:t>
      </w:r>
      <w:r w:rsidRPr="00D35BE3">
        <w:rPr>
          <w:lang w:val="fr-FR"/>
        </w:rPr>
        <w:t xml:space="preserve"> (12</w:t>
      </w:r>
      <w:r w:rsidR="00D35BE3">
        <w:rPr>
          <w:lang w:val="fr-FR"/>
        </w:rPr>
        <w:t> </w:t>
      </w:r>
      <w:r w:rsidRPr="00D35BE3">
        <w:rPr>
          <w:lang w:val="fr-FR"/>
        </w:rPr>
        <w:t>mo</w:t>
      </w:r>
      <w:r w:rsidR="00D35BE3">
        <w:rPr>
          <w:lang w:val="fr-FR"/>
        </w:rPr>
        <w:t>i</w:t>
      </w:r>
      <w:r w:rsidRPr="00D35BE3">
        <w:rPr>
          <w:lang w:val="fr-FR"/>
        </w:rPr>
        <w:t>s), Finland</w:t>
      </w:r>
      <w:r w:rsidR="00D35BE3">
        <w:rPr>
          <w:lang w:val="fr-FR"/>
        </w:rPr>
        <w:t>e</w:t>
      </w:r>
      <w:r w:rsidRPr="00D35BE3">
        <w:rPr>
          <w:lang w:val="fr-FR"/>
        </w:rPr>
        <w:t xml:space="preserve"> (6</w:t>
      </w:r>
      <w:r w:rsidR="00D35BE3">
        <w:rPr>
          <w:lang w:val="fr-FR"/>
        </w:rPr>
        <w:t> </w:t>
      </w:r>
      <w:r w:rsidRPr="00D35BE3">
        <w:rPr>
          <w:lang w:val="fr-FR"/>
        </w:rPr>
        <w:t>mo</w:t>
      </w:r>
      <w:r w:rsidR="00D35BE3">
        <w:rPr>
          <w:lang w:val="fr-FR"/>
        </w:rPr>
        <w:t>i</w:t>
      </w:r>
      <w:r w:rsidRPr="00D35BE3">
        <w:rPr>
          <w:lang w:val="fr-FR"/>
        </w:rPr>
        <w:t>s), Isra</w:t>
      </w:r>
      <w:r w:rsidR="00D35BE3">
        <w:rPr>
          <w:lang w:val="fr-FR"/>
        </w:rPr>
        <w:t>ë</w:t>
      </w:r>
      <w:r w:rsidRPr="00D35BE3">
        <w:rPr>
          <w:lang w:val="fr-FR"/>
        </w:rPr>
        <w:t>l (6</w:t>
      </w:r>
      <w:r w:rsidR="00D35BE3">
        <w:rPr>
          <w:lang w:val="fr-FR"/>
        </w:rPr>
        <w:t> </w:t>
      </w:r>
      <w:r w:rsidRPr="00D35BE3">
        <w:rPr>
          <w:lang w:val="fr-FR"/>
        </w:rPr>
        <w:t>mo</w:t>
      </w:r>
      <w:r w:rsidR="00D35BE3">
        <w:rPr>
          <w:lang w:val="fr-FR"/>
        </w:rPr>
        <w:t>i</w:t>
      </w:r>
      <w:r w:rsidRPr="00D35BE3">
        <w:rPr>
          <w:lang w:val="fr-FR"/>
        </w:rPr>
        <w:t>s), Nor</w:t>
      </w:r>
      <w:r w:rsidR="00D35BE3">
        <w:rPr>
          <w:lang w:val="fr-FR"/>
        </w:rPr>
        <w:t>vège</w:t>
      </w:r>
      <w:r w:rsidRPr="00D35BE3">
        <w:rPr>
          <w:lang w:val="fr-FR"/>
        </w:rPr>
        <w:t xml:space="preserve"> (6</w:t>
      </w:r>
      <w:r w:rsidR="00D35BE3">
        <w:rPr>
          <w:lang w:val="fr-FR"/>
        </w:rPr>
        <w:t> moi</w:t>
      </w:r>
      <w:r w:rsidRPr="00D35BE3">
        <w:rPr>
          <w:lang w:val="fr-FR"/>
        </w:rPr>
        <w:t>s), Samoa (12</w:t>
      </w:r>
      <w:r w:rsidR="00D35BE3">
        <w:rPr>
          <w:lang w:val="fr-FR"/>
        </w:rPr>
        <w:t> </w:t>
      </w:r>
      <w:r w:rsidRPr="00D35BE3">
        <w:rPr>
          <w:lang w:val="fr-FR"/>
        </w:rPr>
        <w:t>mo</w:t>
      </w:r>
      <w:r w:rsidR="00D35BE3">
        <w:rPr>
          <w:lang w:val="fr-FR"/>
        </w:rPr>
        <w:t>i</w:t>
      </w:r>
      <w:r w:rsidRPr="00D35BE3">
        <w:rPr>
          <w:lang w:val="fr-FR"/>
        </w:rPr>
        <w:t>s), Singapo</w:t>
      </w:r>
      <w:r w:rsidR="00D35BE3">
        <w:rPr>
          <w:lang w:val="fr-FR"/>
        </w:rPr>
        <w:t>u</w:t>
      </w:r>
      <w:r w:rsidRPr="00D35BE3">
        <w:rPr>
          <w:lang w:val="fr-FR"/>
        </w:rPr>
        <w:t>r (18</w:t>
      </w:r>
      <w:r w:rsidR="00D35BE3">
        <w:rPr>
          <w:lang w:val="fr-FR"/>
        </w:rPr>
        <w:t> </w:t>
      </w:r>
      <w:r w:rsidRPr="00D35BE3">
        <w:rPr>
          <w:lang w:val="fr-FR"/>
        </w:rPr>
        <w:t>mo</w:t>
      </w:r>
      <w:r w:rsidR="00D35BE3">
        <w:rPr>
          <w:lang w:val="fr-FR"/>
        </w:rPr>
        <w:t>i</w:t>
      </w:r>
      <w:r w:rsidRPr="00D35BE3">
        <w:rPr>
          <w:lang w:val="fr-FR"/>
        </w:rPr>
        <w:t>s), Slov</w:t>
      </w:r>
      <w:r w:rsidR="00D35BE3">
        <w:rPr>
          <w:lang w:val="fr-FR"/>
        </w:rPr>
        <w:t>é</w:t>
      </w:r>
      <w:r w:rsidRPr="00D35BE3">
        <w:rPr>
          <w:lang w:val="fr-FR"/>
        </w:rPr>
        <w:t>ni</w:t>
      </w:r>
      <w:r w:rsidR="00D35BE3">
        <w:rPr>
          <w:lang w:val="fr-FR"/>
        </w:rPr>
        <w:t>e</w:t>
      </w:r>
      <w:r w:rsidRPr="00D35BE3">
        <w:rPr>
          <w:lang w:val="fr-FR"/>
        </w:rPr>
        <w:t xml:space="preserve"> (12</w:t>
      </w:r>
      <w:r w:rsidR="00D35BE3">
        <w:rPr>
          <w:lang w:val="fr-FR"/>
        </w:rPr>
        <w:t> </w:t>
      </w:r>
      <w:r w:rsidRPr="00D35BE3">
        <w:rPr>
          <w:lang w:val="fr-FR"/>
        </w:rPr>
        <w:t>mo</w:t>
      </w:r>
      <w:r w:rsidR="00D35BE3">
        <w:rPr>
          <w:lang w:val="fr-FR"/>
        </w:rPr>
        <w:t>i</w:t>
      </w:r>
      <w:r w:rsidRPr="00D35BE3">
        <w:rPr>
          <w:lang w:val="fr-FR"/>
        </w:rPr>
        <w:t xml:space="preserve">s), </w:t>
      </w:r>
      <w:r w:rsidR="00D35BE3">
        <w:rPr>
          <w:lang w:val="fr-FR"/>
        </w:rPr>
        <w:t>République arabe s</w:t>
      </w:r>
      <w:r w:rsidRPr="00D35BE3">
        <w:rPr>
          <w:lang w:val="fr-FR"/>
        </w:rPr>
        <w:t>yri</w:t>
      </w:r>
      <w:r w:rsidR="00D35BE3">
        <w:rPr>
          <w:lang w:val="fr-FR"/>
        </w:rPr>
        <w:t>enne</w:t>
      </w:r>
      <w:r w:rsidRPr="00D35BE3">
        <w:rPr>
          <w:lang w:val="fr-FR"/>
        </w:rPr>
        <w:t xml:space="preserve"> (12</w:t>
      </w:r>
      <w:r w:rsidR="00D35BE3">
        <w:rPr>
          <w:lang w:val="fr-FR"/>
        </w:rPr>
        <w:t> </w:t>
      </w:r>
      <w:r w:rsidRPr="00D35BE3">
        <w:rPr>
          <w:lang w:val="fr-FR"/>
        </w:rPr>
        <w:t>mo</w:t>
      </w:r>
      <w:r w:rsidR="00D35BE3">
        <w:rPr>
          <w:lang w:val="fr-FR"/>
        </w:rPr>
        <w:t>i</w:t>
      </w:r>
      <w:r w:rsidRPr="00D35BE3">
        <w:rPr>
          <w:lang w:val="fr-FR"/>
        </w:rPr>
        <w:t xml:space="preserve">s) </w:t>
      </w:r>
      <w:r w:rsidR="00A94123">
        <w:rPr>
          <w:lang w:val="fr-FR"/>
        </w:rPr>
        <w:t>et Royaume</w:t>
      </w:r>
      <w:r w:rsidR="00A94123">
        <w:rPr>
          <w:lang w:val="fr-FR"/>
        </w:rPr>
        <w:noBreakHyphen/>
      </w:r>
      <w:r w:rsidRPr="00D35BE3">
        <w:rPr>
          <w:lang w:val="fr-FR"/>
        </w:rPr>
        <w:t>Uni (12</w:t>
      </w:r>
      <w:r w:rsidR="00A94123">
        <w:rPr>
          <w:lang w:val="fr-FR"/>
        </w:rPr>
        <w:t> </w:t>
      </w:r>
      <w:r w:rsidRPr="00D35BE3">
        <w:rPr>
          <w:lang w:val="fr-FR"/>
        </w:rPr>
        <w:t>mo</w:t>
      </w:r>
      <w:r w:rsidR="00A94123">
        <w:rPr>
          <w:lang w:val="fr-FR"/>
        </w:rPr>
        <w:t>is</w:t>
      </w:r>
      <w:r w:rsidRPr="00D35BE3">
        <w:rPr>
          <w:lang w:val="fr-FR"/>
        </w:rPr>
        <w:t>).</w:t>
      </w:r>
    </w:p>
  </w:footnote>
  <w:footnote w:id="4">
    <w:p w14:paraId="5B86F750" w14:textId="77777777" w:rsidR="00E72D54" w:rsidRPr="00D35BE3" w:rsidRDefault="00E72D54" w:rsidP="00E72D54">
      <w:pPr>
        <w:pStyle w:val="FootnoteText"/>
        <w:rPr>
          <w:lang w:val="fr-FR"/>
        </w:rPr>
      </w:pPr>
      <w:r w:rsidRPr="00D35BE3">
        <w:rPr>
          <w:rStyle w:val="FootnoteReference"/>
          <w:lang w:val="fr-FR"/>
        </w:rPr>
        <w:footnoteRef/>
      </w:r>
      <w:r w:rsidRPr="00D35BE3">
        <w:rPr>
          <w:lang w:val="fr-FR"/>
        </w:rPr>
        <w:t xml:space="preserve"> </w:t>
      </w:r>
      <w:r w:rsidRPr="00D35BE3">
        <w:rPr>
          <w:lang w:val="fr-FR"/>
        </w:rPr>
        <w:tab/>
        <w:t>Article</w:t>
      </w:r>
      <w:r w:rsidR="00A94123">
        <w:rPr>
          <w:lang w:val="fr-FR"/>
        </w:rPr>
        <w:t> </w:t>
      </w:r>
      <w:proofErr w:type="gramStart"/>
      <w:r w:rsidRPr="00D35BE3">
        <w:rPr>
          <w:lang w:val="fr-FR"/>
        </w:rPr>
        <w:t>11</w:t>
      </w:r>
      <w:r w:rsidR="00A94123">
        <w:rPr>
          <w:lang w:val="fr-FR"/>
        </w:rPr>
        <w:t>.</w:t>
      </w:r>
      <w:r w:rsidRPr="00D35BE3">
        <w:rPr>
          <w:lang w:val="fr-FR"/>
        </w:rPr>
        <w:t>1)b</w:t>
      </w:r>
      <w:proofErr w:type="gramEnd"/>
      <w:r w:rsidRPr="00D35BE3">
        <w:rPr>
          <w:lang w:val="fr-FR"/>
        </w:rPr>
        <w:t xml:space="preserve">) </w:t>
      </w:r>
      <w:r w:rsidR="00A94123">
        <w:rPr>
          <w:lang w:val="fr-FR"/>
        </w:rPr>
        <w:t xml:space="preserve">de l’Acte de </w:t>
      </w:r>
      <w:r w:rsidRPr="00D35BE3">
        <w:rPr>
          <w:lang w:val="fr-FR"/>
        </w:rPr>
        <w:t>1999.</w:t>
      </w:r>
    </w:p>
  </w:footnote>
  <w:footnote w:id="5">
    <w:p w14:paraId="63CAA0E3" w14:textId="77777777" w:rsidR="00E72D54" w:rsidRPr="00D35BE3" w:rsidRDefault="00E72D54" w:rsidP="00E72D54">
      <w:pPr>
        <w:pStyle w:val="FootnoteText"/>
        <w:rPr>
          <w:lang w:val="fr-FR"/>
        </w:rPr>
      </w:pPr>
      <w:r w:rsidRPr="00D35BE3">
        <w:rPr>
          <w:rStyle w:val="FootnoteReference"/>
          <w:lang w:val="fr-FR"/>
        </w:rPr>
        <w:footnoteRef/>
      </w:r>
      <w:r w:rsidRPr="00D35BE3">
        <w:rPr>
          <w:lang w:val="fr-FR"/>
        </w:rPr>
        <w:t xml:space="preserve"> </w:t>
      </w:r>
      <w:r w:rsidRPr="00D35BE3">
        <w:rPr>
          <w:lang w:val="fr-FR"/>
        </w:rPr>
        <w:tab/>
        <w:t>H</w:t>
      </w:r>
      <w:r w:rsidR="00A94123">
        <w:rPr>
          <w:lang w:val="fr-FR"/>
        </w:rPr>
        <w:t>ongrie</w:t>
      </w:r>
      <w:r w:rsidRPr="00D35BE3">
        <w:rPr>
          <w:lang w:val="fr-FR"/>
        </w:rPr>
        <w:t>, I</w:t>
      </w:r>
      <w:r w:rsidR="00A94123">
        <w:rPr>
          <w:lang w:val="fr-FR"/>
        </w:rPr>
        <w:t>s</w:t>
      </w:r>
      <w:r w:rsidRPr="00D35BE3">
        <w:rPr>
          <w:lang w:val="fr-FR"/>
        </w:rPr>
        <w:t>land</w:t>
      </w:r>
      <w:r w:rsidR="00A94123">
        <w:rPr>
          <w:lang w:val="fr-FR"/>
        </w:rPr>
        <w:t>e</w:t>
      </w:r>
      <w:r w:rsidRPr="00D35BE3">
        <w:rPr>
          <w:lang w:val="fr-FR"/>
        </w:rPr>
        <w:t xml:space="preserve">, </w:t>
      </w:r>
      <w:r w:rsidR="00A94123">
        <w:rPr>
          <w:lang w:val="fr-FR"/>
        </w:rPr>
        <w:t xml:space="preserve">Mexique </w:t>
      </w:r>
      <w:r w:rsidRPr="00D35BE3">
        <w:rPr>
          <w:lang w:val="fr-FR"/>
        </w:rPr>
        <w:t>(</w:t>
      </w:r>
      <w:r w:rsidR="00A94123">
        <w:rPr>
          <w:lang w:val="fr-FR"/>
        </w:rPr>
        <w:t>à compter du 6 juin </w:t>
      </w:r>
      <w:r w:rsidRPr="00D35BE3">
        <w:rPr>
          <w:lang w:val="fr-FR"/>
        </w:rPr>
        <w:t>2020), Monaco, Pol</w:t>
      </w:r>
      <w:r w:rsidR="00A94123">
        <w:rPr>
          <w:lang w:val="fr-FR"/>
        </w:rPr>
        <w:t>ogne</w:t>
      </w:r>
      <w:r w:rsidR="00AD46CA" w:rsidRPr="00D35BE3">
        <w:rPr>
          <w:lang w:val="fr-FR"/>
        </w:rPr>
        <w:t>,</w:t>
      </w:r>
      <w:r w:rsidRPr="00D35BE3">
        <w:rPr>
          <w:lang w:val="fr-FR"/>
        </w:rPr>
        <w:t xml:space="preserve"> </w:t>
      </w:r>
      <w:r w:rsidR="00A94123">
        <w:rPr>
          <w:lang w:val="fr-FR"/>
        </w:rPr>
        <w:t xml:space="preserve">Fédération de </w:t>
      </w:r>
      <w:r w:rsidRPr="00D35BE3">
        <w:rPr>
          <w:lang w:val="fr-FR"/>
        </w:rPr>
        <w:t>Russi</w:t>
      </w:r>
      <w:r w:rsidR="00A94123">
        <w:rPr>
          <w:lang w:val="fr-FR"/>
        </w:rPr>
        <w:t>e</w:t>
      </w:r>
      <w:r w:rsidRPr="00D35BE3">
        <w:rPr>
          <w:lang w:val="fr-FR"/>
        </w:rPr>
        <w:t xml:space="preserve">, Ukraine, </w:t>
      </w:r>
      <w:r w:rsidR="00A94123">
        <w:rPr>
          <w:lang w:val="fr-FR"/>
        </w:rPr>
        <w:t>États</w:t>
      </w:r>
      <w:r w:rsidR="00A94123">
        <w:rPr>
          <w:lang w:val="fr-FR"/>
        </w:rPr>
        <w:noBreakHyphen/>
      </w:r>
      <w:r w:rsidRPr="00D35BE3">
        <w:rPr>
          <w:lang w:val="fr-FR"/>
        </w:rPr>
        <w:t>Uni</w:t>
      </w:r>
      <w:r w:rsidR="00A94123">
        <w:rPr>
          <w:lang w:val="fr-FR"/>
        </w:rPr>
        <w:t xml:space="preserve">s d’Amérique et </w:t>
      </w:r>
      <w:r w:rsidRPr="00D35BE3">
        <w:rPr>
          <w:lang w:val="fr-FR"/>
        </w:rPr>
        <w:t>Viet</w:t>
      </w:r>
      <w:r w:rsidR="00A94123">
        <w:rPr>
          <w:lang w:val="fr-FR"/>
        </w:rPr>
        <w:t> </w:t>
      </w:r>
      <w:r w:rsidRPr="00D35BE3">
        <w:rPr>
          <w:lang w:val="fr-FR"/>
        </w:rPr>
        <w:t>Nam.</w:t>
      </w:r>
    </w:p>
  </w:footnote>
  <w:footnote w:id="6">
    <w:p w14:paraId="6F8B02B9" w14:textId="77777777" w:rsidR="00E72D54" w:rsidRPr="00D35BE3" w:rsidRDefault="00E72D54" w:rsidP="00E72D54">
      <w:pPr>
        <w:pStyle w:val="FootnoteText"/>
        <w:ind w:left="567" w:hanging="567"/>
        <w:rPr>
          <w:lang w:val="fr-FR"/>
        </w:rPr>
      </w:pPr>
      <w:r w:rsidRPr="00D35BE3">
        <w:rPr>
          <w:rStyle w:val="FootnoteReference"/>
          <w:lang w:val="fr-FR"/>
        </w:rPr>
        <w:footnoteRef/>
      </w:r>
      <w:r w:rsidRPr="00D35BE3">
        <w:rPr>
          <w:lang w:val="fr-FR"/>
        </w:rPr>
        <w:tab/>
      </w:r>
      <w:r w:rsidR="00A94123">
        <w:rPr>
          <w:lang w:val="fr-FR"/>
        </w:rPr>
        <w:t xml:space="preserve">Se reporter au </w:t>
      </w:r>
      <w:r w:rsidRPr="00D35BE3">
        <w:rPr>
          <w:lang w:val="fr-FR"/>
        </w:rPr>
        <w:t>document</w:t>
      </w:r>
      <w:r w:rsidR="00A94123">
        <w:rPr>
          <w:lang w:val="fr-FR"/>
        </w:rPr>
        <w:t> </w:t>
      </w:r>
      <w:r w:rsidRPr="00D35BE3">
        <w:rPr>
          <w:lang w:val="fr-FR"/>
        </w:rPr>
        <w:t xml:space="preserve">H/CE/VII/3, </w:t>
      </w:r>
      <w:r w:rsidR="00A94123">
        <w:rPr>
          <w:lang w:val="fr-FR"/>
        </w:rPr>
        <w:t>notes relatives à l’a</w:t>
      </w:r>
      <w:r w:rsidRPr="00D35BE3">
        <w:rPr>
          <w:lang w:val="fr-FR"/>
        </w:rPr>
        <w:t>rticle 7 (paragraph</w:t>
      </w:r>
      <w:r w:rsidR="00A94123">
        <w:rPr>
          <w:lang w:val="fr-FR"/>
        </w:rPr>
        <w:t>e</w:t>
      </w:r>
      <w:r w:rsidRPr="00D35BE3">
        <w:rPr>
          <w:lang w:val="fr-FR"/>
        </w:rPr>
        <w:t> 7.06)</w:t>
      </w:r>
      <w:r w:rsidR="00A94123">
        <w:rPr>
          <w:lang w:val="fr-FR"/>
        </w:rPr>
        <w:t xml:space="preserve"> et au </w:t>
      </w:r>
      <w:r w:rsidRPr="00D35BE3">
        <w:rPr>
          <w:lang w:val="fr-FR"/>
        </w:rPr>
        <w:t>document</w:t>
      </w:r>
      <w:r w:rsidR="00A94123">
        <w:rPr>
          <w:lang w:val="fr-FR"/>
        </w:rPr>
        <w:t> </w:t>
      </w:r>
      <w:r w:rsidRPr="00D35BE3">
        <w:rPr>
          <w:lang w:val="fr-FR"/>
        </w:rPr>
        <w:t xml:space="preserve">H/DC/6, </w:t>
      </w:r>
      <w:r w:rsidR="00A94123">
        <w:rPr>
          <w:lang w:val="fr-FR"/>
        </w:rPr>
        <w:t>n</w:t>
      </w:r>
      <w:r w:rsidRPr="00D35BE3">
        <w:rPr>
          <w:lang w:val="fr-FR"/>
        </w:rPr>
        <w:t xml:space="preserve">otes </w:t>
      </w:r>
      <w:r w:rsidR="00A94123">
        <w:rPr>
          <w:lang w:val="fr-FR"/>
        </w:rPr>
        <w:t>relatives à la règle</w:t>
      </w:r>
      <w:r w:rsidRPr="00D35BE3">
        <w:rPr>
          <w:lang w:val="fr-FR"/>
        </w:rPr>
        <w:t> 17 (paragraph</w:t>
      </w:r>
      <w:r w:rsidR="00A94123">
        <w:rPr>
          <w:lang w:val="fr-FR"/>
        </w:rPr>
        <w:t>e</w:t>
      </w:r>
      <w:r w:rsidRPr="00D35BE3">
        <w:rPr>
          <w:lang w:val="fr-FR"/>
        </w:rPr>
        <w:t> R17.01).</w:t>
      </w:r>
    </w:p>
  </w:footnote>
  <w:footnote w:id="7">
    <w:p w14:paraId="42F46061" w14:textId="77777777" w:rsidR="00E72D54" w:rsidRPr="00D35BE3" w:rsidRDefault="00E72D54" w:rsidP="00E72D54">
      <w:pPr>
        <w:pStyle w:val="FootnoteText"/>
        <w:ind w:left="567" w:hanging="567"/>
        <w:rPr>
          <w:lang w:val="fr-FR"/>
        </w:rPr>
      </w:pPr>
      <w:r w:rsidRPr="00D35BE3">
        <w:rPr>
          <w:rStyle w:val="FootnoteReference"/>
          <w:lang w:val="fr-FR"/>
        </w:rPr>
        <w:footnoteRef/>
      </w:r>
      <w:r w:rsidRPr="00D35BE3">
        <w:rPr>
          <w:lang w:val="fr-FR"/>
        </w:rPr>
        <w:tab/>
      </w:r>
      <w:r w:rsidR="00A94123">
        <w:rPr>
          <w:lang w:val="fr-FR"/>
        </w:rPr>
        <w:t xml:space="preserve">Se reporter au </w:t>
      </w:r>
      <w:r w:rsidRPr="00D35BE3">
        <w:rPr>
          <w:lang w:val="fr-FR"/>
        </w:rPr>
        <w:t>document</w:t>
      </w:r>
      <w:r w:rsidR="00A94123">
        <w:rPr>
          <w:lang w:val="fr-FR"/>
        </w:rPr>
        <w:t> </w:t>
      </w:r>
      <w:r w:rsidRPr="00D35BE3">
        <w:rPr>
          <w:lang w:val="fr-FR"/>
        </w:rPr>
        <w:t xml:space="preserve">H/DC/6, </w:t>
      </w:r>
      <w:r w:rsidR="00A94123">
        <w:rPr>
          <w:lang w:val="fr-FR"/>
        </w:rPr>
        <w:t>notes relatives à la règle </w:t>
      </w:r>
      <w:r w:rsidRPr="00D35BE3">
        <w:rPr>
          <w:lang w:val="fr-FR"/>
        </w:rPr>
        <w:t>17 (paragraph</w:t>
      </w:r>
      <w:r w:rsidR="00A94123">
        <w:rPr>
          <w:lang w:val="fr-FR"/>
        </w:rPr>
        <w:t>e</w:t>
      </w:r>
      <w:r w:rsidRPr="00D35BE3">
        <w:rPr>
          <w:lang w:val="fr-FR"/>
        </w:rPr>
        <w:t> R17.01).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DF9B8" w14:textId="5C51676D" w:rsidR="00E72D54" w:rsidRPr="00E72D54" w:rsidRDefault="00E72D54" w:rsidP="00E72D54">
    <w:pPr>
      <w:pStyle w:val="Header"/>
      <w:tabs>
        <w:tab w:val="clear" w:pos="4536"/>
      </w:tabs>
      <w:jc w:val="center"/>
      <w:rPr>
        <w:rStyle w:val="PageNumber"/>
        <w:color w:val="000000"/>
        <w:sz w:val="17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D2B7D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>.</w:t>
    </w:r>
  </w:p>
  <w:p w14:paraId="0201F8FD" w14:textId="77777777" w:rsidR="00E72D54" w:rsidRDefault="00E72D54" w:rsidP="00E72D54">
    <w:pPr>
      <w:pStyle w:val="Header"/>
      <w:tabs>
        <w:tab w:val="clear" w:pos="4536"/>
      </w:tabs>
      <w:rPr>
        <w:rStyle w:val="PageNumber"/>
      </w:rPr>
    </w:pPr>
  </w:p>
  <w:p w14:paraId="20B9C02E" w14:textId="77777777" w:rsidR="00E72D54" w:rsidRDefault="00E72D54" w:rsidP="00E72D54">
    <w:pPr>
      <w:pStyle w:val="Header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6B5DC" w14:textId="75334711" w:rsidR="00D01945" w:rsidRPr="00E72D54" w:rsidRDefault="00C21085" w:rsidP="00E72D54">
    <w:pPr>
      <w:pStyle w:val="Header"/>
      <w:tabs>
        <w:tab w:val="clear" w:pos="4536"/>
      </w:tabs>
      <w:jc w:val="center"/>
      <w:rPr>
        <w:rStyle w:val="PageNumber"/>
        <w:color w:val="000000"/>
        <w:sz w:val="17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D2B7D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>.</w:t>
    </w:r>
  </w:p>
  <w:p w14:paraId="127BB408" w14:textId="77777777" w:rsidR="00D01945" w:rsidRDefault="008D2B7D" w:rsidP="00272E13">
    <w:pPr>
      <w:pStyle w:val="Header"/>
      <w:tabs>
        <w:tab w:val="clear" w:pos="4536"/>
      </w:tabs>
      <w:rPr>
        <w:rStyle w:val="PageNumber"/>
      </w:rPr>
    </w:pPr>
  </w:p>
  <w:p w14:paraId="2EB65B2B" w14:textId="77777777" w:rsidR="00D01945" w:rsidRDefault="008D2B7D" w:rsidP="00272E13">
    <w:pPr>
      <w:pStyle w:val="Header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9F553" w14:textId="77777777" w:rsidR="00D01945" w:rsidRDefault="00C21085" w:rsidP="00D01945">
    <w:pPr>
      <w:pStyle w:val="Header"/>
      <w:jc w:val="center"/>
      <w:rPr>
        <w:color w:val="000000"/>
        <w:sz w:val="17"/>
      </w:rPr>
    </w:pPr>
    <w:bookmarkStart w:id="3" w:name="TITUS2HeaderFirstPage"/>
    <w:r w:rsidRPr="00D01945">
      <w:rPr>
        <w:color w:val="000000"/>
        <w:sz w:val="17"/>
      </w:rPr>
      <w:t> </w:t>
    </w:r>
  </w:p>
  <w:bookmarkEnd w:id="3"/>
  <w:p w14:paraId="73656CEE" w14:textId="77777777" w:rsidR="00D01945" w:rsidRDefault="008D2B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D54"/>
    <w:rsid w:val="000069DB"/>
    <w:rsid w:val="000239C6"/>
    <w:rsid w:val="000A42DD"/>
    <w:rsid w:val="000A7BD9"/>
    <w:rsid w:val="000F1140"/>
    <w:rsid w:val="000F5E56"/>
    <w:rsid w:val="001243E3"/>
    <w:rsid w:val="00146A05"/>
    <w:rsid w:val="001F3034"/>
    <w:rsid w:val="002026C2"/>
    <w:rsid w:val="00206E6C"/>
    <w:rsid w:val="00210C47"/>
    <w:rsid w:val="00295065"/>
    <w:rsid w:val="002D0FC2"/>
    <w:rsid w:val="003578E2"/>
    <w:rsid w:val="003E6531"/>
    <w:rsid w:val="00431118"/>
    <w:rsid w:val="00463AE0"/>
    <w:rsid w:val="0047681D"/>
    <w:rsid w:val="004F581E"/>
    <w:rsid w:val="00591F07"/>
    <w:rsid w:val="005C03DC"/>
    <w:rsid w:val="005F21A3"/>
    <w:rsid w:val="00632F4B"/>
    <w:rsid w:val="006515B5"/>
    <w:rsid w:val="00651BD8"/>
    <w:rsid w:val="0065781E"/>
    <w:rsid w:val="006C0C91"/>
    <w:rsid w:val="006D5B38"/>
    <w:rsid w:val="006F0D15"/>
    <w:rsid w:val="00743FA6"/>
    <w:rsid w:val="007522C5"/>
    <w:rsid w:val="007849CB"/>
    <w:rsid w:val="007B05C7"/>
    <w:rsid w:val="007B240C"/>
    <w:rsid w:val="007B3640"/>
    <w:rsid w:val="007D53C7"/>
    <w:rsid w:val="00804DB7"/>
    <w:rsid w:val="008360B4"/>
    <w:rsid w:val="008D0FB0"/>
    <w:rsid w:val="008D2B7D"/>
    <w:rsid w:val="00907265"/>
    <w:rsid w:val="0093045D"/>
    <w:rsid w:val="00961CDA"/>
    <w:rsid w:val="00986848"/>
    <w:rsid w:val="009878FD"/>
    <w:rsid w:val="009A3105"/>
    <w:rsid w:val="00A052DB"/>
    <w:rsid w:val="00A315AC"/>
    <w:rsid w:val="00A3486D"/>
    <w:rsid w:val="00A91E25"/>
    <w:rsid w:val="00A94123"/>
    <w:rsid w:val="00AB37F8"/>
    <w:rsid w:val="00AD46CA"/>
    <w:rsid w:val="00B85FAB"/>
    <w:rsid w:val="00B86462"/>
    <w:rsid w:val="00BB205C"/>
    <w:rsid w:val="00BE4912"/>
    <w:rsid w:val="00C21085"/>
    <w:rsid w:val="00C554EC"/>
    <w:rsid w:val="00CE4DD1"/>
    <w:rsid w:val="00CF52AD"/>
    <w:rsid w:val="00D01716"/>
    <w:rsid w:val="00D35BE3"/>
    <w:rsid w:val="00E72D54"/>
    <w:rsid w:val="00E76B58"/>
    <w:rsid w:val="00EE3F23"/>
    <w:rsid w:val="00F30973"/>
    <w:rsid w:val="00FB69F6"/>
    <w:rsid w:val="00FD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9F45E59"/>
  <w15:chartTrackingRefBased/>
  <w15:docId w15:val="{78A428C2-CF6C-4A66-8BA7-1C5EB400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D54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  <w:lang w:eastAsia="en-US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  <w:lang w:eastAsia="en-US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  <w:lang w:eastAsia="en-US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  <w:rPr>
      <w:rFonts w:eastAsia="Times New Roman"/>
      <w:lang w:eastAsia="en-US"/>
    </w:r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  <w:rPr>
      <w:rFonts w:eastAsia="Times New Roman"/>
      <w:lang w:eastAsia="en-US"/>
    </w:rPr>
  </w:style>
  <w:style w:type="paragraph" w:styleId="Salutation">
    <w:name w:val="Salutation"/>
    <w:basedOn w:val="Normal"/>
    <w:next w:val="Normal"/>
    <w:semiHidden/>
    <w:rsid w:val="00804DB7"/>
    <w:rPr>
      <w:rFonts w:eastAsia="Times New Roman"/>
      <w:lang w:eastAsia="en-US"/>
    </w:rPr>
  </w:style>
  <w:style w:type="paragraph" w:styleId="Signature">
    <w:name w:val="Signature"/>
    <w:basedOn w:val="Normal"/>
    <w:semiHidden/>
    <w:rsid w:val="00804DB7"/>
    <w:pPr>
      <w:ind w:left="5250"/>
    </w:pPr>
    <w:rPr>
      <w:rFonts w:eastAsia="Times New Roman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804DB7"/>
    <w:rPr>
      <w:rFonts w:eastAsia="Times New Roman"/>
      <w:sz w:val="18"/>
      <w:lang w:eastAsia="en-US"/>
    </w:rPr>
  </w:style>
  <w:style w:type="paragraph" w:styleId="EndnoteText">
    <w:name w:val="endnote text"/>
    <w:basedOn w:val="Normal"/>
    <w:semiHidden/>
    <w:rsid w:val="00804DB7"/>
    <w:rPr>
      <w:rFonts w:eastAsia="Times New Roman"/>
      <w:sz w:val="18"/>
      <w:lang w:eastAsia="en-US"/>
    </w:rPr>
  </w:style>
  <w:style w:type="paragraph" w:styleId="Caption">
    <w:name w:val="caption"/>
    <w:basedOn w:val="Normal"/>
    <w:next w:val="Normal"/>
    <w:qFormat/>
    <w:rsid w:val="00804DB7"/>
    <w:rPr>
      <w:rFonts w:eastAsia="Times New Roman"/>
      <w:b/>
      <w:bCs/>
      <w:sz w:val="18"/>
      <w:lang w:eastAsia="en-US"/>
    </w:rPr>
  </w:style>
  <w:style w:type="paragraph" w:styleId="CommentText">
    <w:name w:val="annotation text"/>
    <w:basedOn w:val="Normal"/>
    <w:link w:val="CommentTextChar"/>
    <w:semiHidden/>
    <w:rsid w:val="00804DB7"/>
    <w:rPr>
      <w:rFonts w:eastAsia="Times New Roman"/>
      <w:sz w:val="18"/>
      <w:lang w:eastAsia="en-US"/>
    </w:rPr>
  </w:style>
  <w:style w:type="paragraph" w:styleId="BodyText">
    <w:name w:val="Body Text"/>
    <w:basedOn w:val="Normal"/>
    <w:rsid w:val="00804DB7"/>
    <w:pPr>
      <w:spacing w:after="220"/>
    </w:pPr>
    <w:rPr>
      <w:rFonts w:eastAsia="Times New Roman"/>
      <w:lang w:eastAsia="en-US"/>
    </w:r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  <w:rPr>
      <w:rFonts w:eastAsia="Times New Roman"/>
      <w:lang w:eastAsia="en-US"/>
    </w:rPr>
  </w:style>
  <w:style w:type="paragraph" w:customStyle="1" w:styleId="DateSignatureAligned">
    <w:name w:val="Date / Signature Aligned"/>
    <w:basedOn w:val="Normal"/>
    <w:rsid w:val="00E72D54"/>
    <w:pPr>
      <w:ind w:left="5250"/>
    </w:pPr>
  </w:style>
  <w:style w:type="character" w:styleId="Hyperlink">
    <w:name w:val="Hyperlink"/>
    <w:rsid w:val="00E72D54"/>
    <w:rPr>
      <w:color w:val="0000FF"/>
      <w:u w:val="single"/>
    </w:rPr>
  </w:style>
  <w:style w:type="character" w:styleId="PageNumber">
    <w:name w:val="page number"/>
    <w:basedOn w:val="DefaultParagraphFont"/>
    <w:rsid w:val="00E72D54"/>
  </w:style>
  <w:style w:type="paragraph" w:styleId="ListParagraph">
    <w:name w:val="List Paragraph"/>
    <w:basedOn w:val="Normal"/>
    <w:uiPriority w:val="34"/>
    <w:qFormat/>
    <w:rsid w:val="00E72D54"/>
    <w:pPr>
      <w:ind w:left="720"/>
      <w:contextualSpacing/>
    </w:pPr>
    <w:rPr>
      <w:rFonts w:eastAsia="MS Mincho"/>
      <w:lang w:eastAsia="en-US"/>
    </w:rPr>
  </w:style>
  <w:style w:type="character" w:styleId="FootnoteReference">
    <w:name w:val="footnote reference"/>
    <w:rsid w:val="00E72D54"/>
    <w:rPr>
      <w:vertAlign w:val="superscript"/>
    </w:rPr>
  </w:style>
  <w:style w:type="paragraph" w:customStyle="1" w:styleId="Meetingtitle">
    <w:name w:val="Meeting title"/>
    <w:basedOn w:val="Normal"/>
    <w:next w:val="Normal"/>
    <w:rsid w:val="00E72D54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character" w:customStyle="1" w:styleId="Heading1Char">
    <w:name w:val="Heading 1 Char"/>
    <w:link w:val="Heading1"/>
    <w:rsid w:val="00E72D54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FootnoteTextChar">
    <w:name w:val="Footnote Text Char"/>
    <w:link w:val="FootnoteText"/>
    <w:uiPriority w:val="99"/>
    <w:semiHidden/>
    <w:rsid w:val="00E72D54"/>
    <w:rPr>
      <w:rFonts w:ascii="Arial" w:hAnsi="Arial" w:cs="Arial"/>
      <w:sz w:val="18"/>
    </w:rPr>
  </w:style>
  <w:style w:type="paragraph" w:styleId="BalloonText">
    <w:name w:val="Balloon Text"/>
    <w:basedOn w:val="Normal"/>
    <w:link w:val="BalloonTextChar"/>
    <w:semiHidden/>
    <w:unhideWhenUsed/>
    <w:rsid w:val="00E72D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72D54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8360B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360B4"/>
    <w:rPr>
      <w:rFonts w:eastAsia="SimSun"/>
      <w:b/>
      <w:bCs/>
      <w:sz w:val="20"/>
      <w:lang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8360B4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8360B4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9082E-A16D-49D5-BC07-134DCC31B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1003</Words>
  <Characters>5685</Characters>
  <Application>Microsoft Office Word</Application>
  <DocSecurity>0</DocSecurity>
  <Lines>175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ST LEGER Nathalie</dc:creator>
  <cp:keywords>FOR OFFICIAL USE ONLY</cp:keywords>
  <dc:description/>
  <cp:lastModifiedBy>ST LEGER Nathalie</cp:lastModifiedBy>
  <cp:revision>3</cp:revision>
  <cp:lastPrinted>2020-05-13T07:45:00Z</cp:lastPrinted>
  <dcterms:created xsi:type="dcterms:W3CDTF">2020-06-08T13:35:00Z</dcterms:created>
  <dcterms:modified xsi:type="dcterms:W3CDTF">2020-06-08T13:43:00Z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e07be9f0-5661-445e-b253-af6f8c5d909d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